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AA" w:rsidRPr="00AC23F5" w:rsidRDefault="00C12AAA" w:rsidP="00AC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504D"/>
          <w:sz w:val="44"/>
          <w:szCs w:val="44"/>
          <w:lang w:val="fr-FR"/>
        </w:rPr>
      </w:pPr>
      <w:r w:rsidRPr="00AC23F5">
        <w:rPr>
          <w:b/>
          <w:color w:val="C0504D"/>
          <w:sz w:val="44"/>
          <w:szCs w:val="44"/>
          <w:lang w:val="fr-FR"/>
        </w:rPr>
        <w:t>La rupture conventionnelle</w:t>
      </w:r>
    </w:p>
    <w:tbl>
      <w:tblPr>
        <w:tblW w:w="10229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2"/>
        <w:gridCol w:w="4242"/>
        <w:gridCol w:w="4265"/>
      </w:tblGrid>
      <w:tr w:rsidR="00C12AAA" w:rsidRPr="00034494" w:rsidTr="00AC23F5">
        <w:trPr>
          <w:trHeight w:val="869"/>
        </w:trPr>
        <w:tc>
          <w:tcPr>
            <w:tcW w:w="1522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</w:p>
        </w:tc>
        <w:tc>
          <w:tcPr>
            <w:tcW w:w="4353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  <w:bookmarkStart w:id="0" w:name="_GoBack"/>
            <w:bookmarkEnd w:id="0"/>
            <w:r w:rsidRPr="00034494">
              <w:rPr>
                <w:color w:val="365F91"/>
                <w:sz w:val="36"/>
                <w:szCs w:val="36"/>
                <w:lang w:val="fr-FR"/>
              </w:rPr>
              <w:t>Avantages</w:t>
            </w:r>
          </w:p>
        </w:tc>
        <w:tc>
          <w:tcPr>
            <w:tcW w:w="4354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  <w:r w:rsidRPr="00034494">
              <w:rPr>
                <w:color w:val="365F91"/>
                <w:sz w:val="36"/>
                <w:szCs w:val="36"/>
                <w:lang w:val="fr-FR"/>
              </w:rPr>
              <w:t>Inconvénients</w:t>
            </w:r>
          </w:p>
        </w:tc>
      </w:tr>
      <w:tr w:rsidR="00C12AAA" w:rsidRPr="00034494" w:rsidTr="00AC23F5">
        <w:trPr>
          <w:trHeight w:val="5372"/>
        </w:trPr>
        <w:tc>
          <w:tcPr>
            <w:tcW w:w="1522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  <w:r w:rsidRPr="00034494">
              <w:rPr>
                <w:color w:val="365F91"/>
                <w:sz w:val="36"/>
                <w:szCs w:val="36"/>
                <w:lang w:val="fr-FR"/>
              </w:rPr>
              <w:t>Salarié</w:t>
            </w:r>
          </w:p>
        </w:tc>
        <w:tc>
          <w:tcPr>
            <w:tcW w:w="4353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</w:p>
        </w:tc>
        <w:tc>
          <w:tcPr>
            <w:tcW w:w="4354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</w:p>
        </w:tc>
      </w:tr>
      <w:tr w:rsidR="00C12AAA" w:rsidRPr="00034494" w:rsidTr="00AC23F5">
        <w:trPr>
          <w:trHeight w:val="5372"/>
        </w:trPr>
        <w:tc>
          <w:tcPr>
            <w:tcW w:w="1522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  <w:r w:rsidRPr="00034494">
              <w:rPr>
                <w:color w:val="365F91"/>
                <w:sz w:val="36"/>
                <w:szCs w:val="36"/>
                <w:lang w:val="fr-FR"/>
              </w:rPr>
              <w:t>Employeur</w:t>
            </w:r>
          </w:p>
        </w:tc>
        <w:tc>
          <w:tcPr>
            <w:tcW w:w="4353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</w:p>
        </w:tc>
        <w:tc>
          <w:tcPr>
            <w:tcW w:w="4354" w:type="dxa"/>
            <w:vAlign w:val="center"/>
          </w:tcPr>
          <w:p w:rsidR="00C12AAA" w:rsidRPr="00034494" w:rsidRDefault="00C12AAA" w:rsidP="00AC23F5">
            <w:pPr>
              <w:jc w:val="center"/>
              <w:rPr>
                <w:color w:val="365F91"/>
                <w:sz w:val="36"/>
                <w:szCs w:val="36"/>
                <w:lang w:val="fr-FR"/>
              </w:rPr>
            </w:pPr>
          </w:p>
        </w:tc>
      </w:tr>
    </w:tbl>
    <w:p w:rsidR="00C12AAA" w:rsidRPr="00AC23F5" w:rsidRDefault="00C12AAA">
      <w:pPr>
        <w:rPr>
          <w:lang w:val="fr-FR"/>
        </w:rPr>
      </w:pPr>
    </w:p>
    <w:sectPr w:rsidR="00C12AAA" w:rsidRPr="00AC23F5" w:rsidSect="00502ACF">
      <w:pgSz w:w="11906" w:h="16838"/>
      <w:pgMar w:top="1135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F5"/>
    <w:rsid w:val="00034494"/>
    <w:rsid w:val="00055212"/>
    <w:rsid w:val="00144AFB"/>
    <w:rsid w:val="003A63C2"/>
    <w:rsid w:val="003A7F21"/>
    <w:rsid w:val="00502ACF"/>
    <w:rsid w:val="008649A7"/>
    <w:rsid w:val="00AC23F5"/>
    <w:rsid w:val="00C12AAA"/>
    <w:rsid w:val="00DD2BC3"/>
    <w:rsid w:val="00F9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F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rupture conventionnelle</dc:title>
  <dc:subject/>
  <dc:creator>Sandra Horoyan</dc:creator>
  <cp:keywords/>
  <dc:description/>
  <cp:lastModifiedBy>PARET Géraldine</cp:lastModifiedBy>
  <cp:revision>2</cp:revision>
  <dcterms:created xsi:type="dcterms:W3CDTF">2013-10-31T17:57:00Z</dcterms:created>
  <dcterms:modified xsi:type="dcterms:W3CDTF">2013-10-31T17:57:00Z</dcterms:modified>
</cp:coreProperties>
</file>