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7B" w:rsidRPr="00C24FB4" w:rsidRDefault="00C24FB4" w:rsidP="00C24FB4">
      <w:pPr>
        <w:jc w:val="center"/>
        <w:rPr>
          <w:rFonts w:asciiTheme="majorHAnsi" w:eastAsia="Times New Roman" w:hAnsiTheme="majorHAnsi" w:cstheme="majorHAnsi"/>
          <w:b/>
          <w:color w:val="0070C0"/>
          <w:sz w:val="36"/>
          <w:u w:val="single"/>
        </w:rPr>
      </w:pPr>
      <w:r w:rsidRPr="00C24FB4">
        <w:rPr>
          <w:rFonts w:asciiTheme="majorHAnsi" w:eastAsia="Times New Roman" w:hAnsiTheme="majorHAnsi" w:cstheme="majorHAnsi"/>
          <w:b/>
          <w:color w:val="0070C0"/>
          <w:sz w:val="36"/>
          <w:u w:val="single"/>
        </w:rPr>
        <w:t xml:space="preserve"> LES NOTIONS DE SECTEUR, BRANCHE ET DE FILIERE</w:t>
      </w:r>
    </w:p>
    <w:p w:rsidR="00A72A7B" w:rsidRPr="00C24FB4" w:rsidRDefault="00A72A7B" w:rsidP="00C24FB4">
      <w:pPr>
        <w:spacing w:after="0"/>
        <w:jc w:val="both"/>
        <w:rPr>
          <w:rFonts w:asciiTheme="majorHAnsi" w:eastAsia="Times New Roman" w:hAnsiTheme="majorHAnsi" w:cstheme="majorHAnsi"/>
          <w:sz w:val="24"/>
          <w:szCs w:val="20"/>
        </w:rPr>
      </w:pPr>
    </w:p>
    <w:p w:rsidR="00A72A7B" w:rsidRPr="00C24FB4" w:rsidRDefault="00C24FB4" w:rsidP="00C24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firstLine="0"/>
        <w:rPr>
          <w:rFonts w:asciiTheme="majorHAnsi" w:eastAsia="Times New Roman" w:hAnsiTheme="majorHAnsi" w:cstheme="majorHAnsi"/>
          <w:b/>
          <w:color w:val="0070C0"/>
          <w:sz w:val="28"/>
        </w:rPr>
      </w:pPr>
      <w:r w:rsidRPr="00C24FB4">
        <w:rPr>
          <w:rFonts w:asciiTheme="majorHAnsi" w:eastAsia="Times New Roman" w:hAnsiTheme="majorHAnsi" w:cstheme="majorHAnsi"/>
          <w:b/>
          <w:color w:val="0070C0"/>
          <w:sz w:val="28"/>
        </w:rPr>
        <w:t>LA NOTION DE SECTEUR D’ACTIVITE</w:t>
      </w:r>
    </w:p>
    <w:p w:rsidR="00A72A7B" w:rsidRPr="00C24FB4" w:rsidRDefault="00CD0F67" w:rsidP="00C24FB4">
      <w:pPr>
        <w:spacing w:after="120"/>
        <w:rPr>
          <w:rFonts w:asciiTheme="majorHAnsi" w:eastAsia="Times New Roman" w:hAnsiTheme="majorHAnsi" w:cstheme="majorHAnsi"/>
          <w:b/>
          <w:sz w:val="28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</w:rPr>
        <w:t>Un secteur d’activité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 xml:space="preserve"> regroupe des entreprises de fabrication, de commerce ou de service qui ont la même activité principale. L’activité de secteur n’est donc pas tout à fait homogène puisque l’intégralité du chiffre d’affaires d’une entreprise fabriquant plusieurs produits di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fférents sera comptabilisée dans le secteur correspondant au produit où le CA est prédominant.</w:t>
      </w:r>
    </w:p>
    <w:p w:rsidR="00A72A7B" w:rsidRPr="00C24FB4" w:rsidRDefault="00CD0F67" w:rsidP="00C24FB4">
      <w:pPr>
        <w:spacing w:after="120"/>
        <w:rPr>
          <w:rFonts w:asciiTheme="majorHAnsi" w:eastAsia="Times New Roman" w:hAnsiTheme="majorHAnsi" w:cstheme="majorHAnsi"/>
          <w:sz w:val="24"/>
          <w:szCs w:val="20"/>
        </w:rPr>
      </w:pPr>
      <w:bookmarkStart w:id="0" w:name="_gjdgxs" w:colFirst="0" w:colLast="0"/>
      <w:bookmarkEnd w:id="0"/>
      <w:r w:rsidRPr="00C24FB4">
        <w:rPr>
          <w:rFonts w:asciiTheme="majorHAnsi" w:eastAsia="Times New Roman" w:hAnsiTheme="majorHAnsi" w:cstheme="majorHAnsi"/>
          <w:sz w:val="24"/>
          <w:szCs w:val="20"/>
        </w:rPr>
        <w:t>Le secteur économique correspond à un regroupement d’activités qui apparaissent comme semblables. On distingue ainsi 3 secteurs économiques : le secteur primaire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, le secteur secondaire et le secteur tertiaire.</w:t>
      </w:r>
    </w:p>
    <w:p w:rsidR="00A72A7B" w:rsidRPr="00C24FB4" w:rsidRDefault="00CD0F67" w:rsidP="00C24FB4">
      <w:pPr>
        <w:spacing w:after="12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sz w:val="24"/>
          <w:szCs w:val="20"/>
        </w:rPr>
        <w:t>C'est l'économiste écossais Colin Clark qui </w:t>
      </w:r>
      <w:proofErr w:type="gramStart"/>
      <w:r w:rsidRPr="00C24FB4">
        <w:rPr>
          <w:rFonts w:asciiTheme="majorHAnsi" w:eastAsia="Times New Roman" w:hAnsiTheme="majorHAnsi" w:cstheme="majorHAnsi"/>
          <w:sz w:val="24"/>
          <w:szCs w:val="20"/>
        </w:rPr>
        <w:t>a</w:t>
      </w:r>
      <w:proofErr w:type="gramEnd"/>
      <w:r w:rsidRPr="00C24FB4">
        <w:rPr>
          <w:rFonts w:asciiTheme="majorHAnsi" w:eastAsia="Times New Roman" w:hAnsiTheme="majorHAnsi" w:cstheme="majorHAnsi"/>
          <w:sz w:val="24"/>
          <w:szCs w:val="20"/>
        </w:rPr>
        <w:t> eu l'idée de définir trois secteurs économiques principaux, selon la nature de l’industrie :</w:t>
      </w:r>
    </w:p>
    <w:p w:rsidR="00A72A7B" w:rsidRPr="00C24FB4" w:rsidRDefault="00CD0F67" w:rsidP="00C2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Le secteur primaire concerne la collecte et l'exploitation directe de ressources naturelles :</w:t>
      </w:r>
    </w:p>
    <w:p w:rsidR="00A72A7B" w:rsidRPr="00C24FB4" w:rsidRDefault="00CD0F67" w:rsidP="00C24FB4">
      <w:pPr>
        <w:spacing w:after="120"/>
        <w:jc w:val="center"/>
        <w:rPr>
          <w:rFonts w:asciiTheme="majorHAnsi" w:eastAsia="Times New Roman" w:hAnsiTheme="majorHAnsi" w:cstheme="majorHAnsi"/>
          <w:i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i/>
          <w:sz w:val="24"/>
          <w:szCs w:val="20"/>
        </w:rPr>
        <w:t>Matériaux ; énergie </w:t>
      </w:r>
      <w:bookmarkStart w:id="1" w:name="_GoBack"/>
      <w:bookmarkEnd w:id="1"/>
      <w:r w:rsidRPr="00C24FB4">
        <w:rPr>
          <w:rFonts w:asciiTheme="majorHAnsi" w:eastAsia="Times New Roman" w:hAnsiTheme="majorHAnsi" w:cstheme="majorHAnsi"/>
          <w:i/>
          <w:sz w:val="24"/>
          <w:szCs w:val="20"/>
        </w:rPr>
        <w:t>; certains aliments …</w:t>
      </w:r>
    </w:p>
    <w:p w:rsidR="00A72A7B" w:rsidRPr="00C24FB4" w:rsidRDefault="00CD0F67" w:rsidP="00C2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Le secteur secondaire concerne les industries de transformation.</w:t>
      </w:r>
    </w:p>
    <w:p w:rsidR="00A72A7B" w:rsidRPr="00C24FB4" w:rsidRDefault="00CD0F67" w:rsidP="00C24FB4">
      <w:pPr>
        <w:spacing w:after="120"/>
        <w:jc w:val="center"/>
        <w:rPr>
          <w:rFonts w:asciiTheme="majorHAnsi" w:eastAsia="Times New Roman" w:hAnsiTheme="majorHAnsi" w:cstheme="majorHAnsi"/>
          <w:i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i/>
          <w:sz w:val="24"/>
          <w:szCs w:val="20"/>
        </w:rPr>
        <w:t>Elles agissent sur une matière</w:t>
      </w:r>
    </w:p>
    <w:p w:rsidR="00A72A7B" w:rsidRPr="00C24FB4" w:rsidRDefault="00CD0F67" w:rsidP="00C2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Le secteur tertiaire reg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roupe les industries du service essentiellement immatériel : </w:t>
      </w:r>
    </w:p>
    <w:p w:rsidR="00A72A7B" w:rsidRPr="00C24FB4" w:rsidRDefault="00CD0F67" w:rsidP="00C24FB4">
      <w:pPr>
        <w:spacing w:after="240"/>
        <w:jc w:val="both"/>
        <w:rPr>
          <w:rFonts w:asciiTheme="majorHAnsi" w:eastAsia="Times New Roman" w:hAnsiTheme="majorHAnsi" w:cstheme="majorHAnsi"/>
          <w:i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i/>
          <w:sz w:val="24"/>
          <w:szCs w:val="20"/>
        </w:rPr>
        <w:t>Assurances,  intermédiation, formation, études et recherche, administration, services à la personne, sécurité…</w:t>
      </w:r>
    </w:p>
    <w:p w:rsidR="00A72A7B" w:rsidRPr="00C24FB4" w:rsidRDefault="00CD0F67" w:rsidP="00C24FB4">
      <w:pPr>
        <w:spacing w:after="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Intérêts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 xml:space="preserve"> : </w:t>
      </w:r>
    </w:p>
    <w:p w:rsidR="00A72A7B" w:rsidRPr="00C24FB4" w:rsidRDefault="00CD0F67" w:rsidP="00C24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Les entreprises d’un même secteur ont souvent les mêmes comportements e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 xml:space="preserve">n matière d’exploitation, d’investissement, de financements … </w:t>
      </w:r>
    </w:p>
    <w:p w:rsidR="00A72A7B" w:rsidRPr="00C24FB4" w:rsidRDefault="00CD0F67" w:rsidP="00C24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Il y a la possibilité de faire des comparaisons entre secteurs et d’étudier les évolutions dans le temps.</w:t>
      </w:r>
    </w:p>
    <w:p w:rsidR="00A72A7B" w:rsidRPr="00C24FB4" w:rsidRDefault="00A72A7B" w:rsidP="00C24F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A72A7B" w:rsidRPr="00C24FB4" w:rsidRDefault="00CD0F67" w:rsidP="00C24FB4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0"/>
        </w:rPr>
      </w:pPr>
      <w:proofErr w:type="gramStart"/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Limites</w:t>
      </w:r>
      <w:proofErr w:type="gramEnd"/>
      <w:r w:rsidRPr="00C24FB4">
        <w:rPr>
          <w:rFonts w:asciiTheme="majorHAnsi" w:eastAsia="Times New Roman" w:hAnsiTheme="majorHAnsi" w:cstheme="majorHAnsi"/>
          <w:b/>
          <w:sz w:val="24"/>
          <w:szCs w:val="20"/>
        </w:rPr>
        <w:t xml:space="preserve"> : </w:t>
      </w:r>
    </w:p>
    <w:p w:rsidR="00A72A7B" w:rsidRPr="00C24FB4" w:rsidRDefault="00CD0F67" w:rsidP="00C24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 xml:space="preserve">Plus les entreprises sont diversifiées, plus les comparaisons sont difficiles. </w:t>
      </w:r>
    </w:p>
    <w:p w:rsidR="00A72A7B" w:rsidRPr="00C24FB4" w:rsidRDefault="00CD0F67" w:rsidP="00C24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Il n’y a pas de prise en compte des liens et des relations entre les divers acteurs qui participent au processus de production.</w:t>
      </w:r>
    </w:p>
    <w:p w:rsidR="00A72A7B" w:rsidRPr="00C24FB4" w:rsidRDefault="00CD0F67" w:rsidP="00C24FB4">
      <w:pPr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sz w:val="24"/>
          <w:szCs w:val="20"/>
        </w:rPr>
        <w:t>Cette classification n'est pas rigide, l'agricul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ture par exemple ayant été à l'origine classée comme du  secteur secondaire (le cultivateur transforme des graines en produits consommables, par exemple), par  opposition à la chasse et la simple cueillette.</w:t>
      </w:r>
    </w:p>
    <w:p w:rsidR="00A72A7B" w:rsidRPr="00C24FB4" w:rsidRDefault="00A72A7B" w:rsidP="00C24F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Times New Roman" w:hAnsiTheme="majorHAnsi" w:cstheme="majorHAnsi"/>
          <w:b/>
          <w:color w:val="000000"/>
          <w:sz w:val="28"/>
        </w:rPr>
      </w:pPr>
    </w:p>
    <w:p w:rsidR="00A72A7B" w:rsidRPr="00C24FB4" w:rsidRDefault="00CD0F67" w:rsidP="00C24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firstLine="0"/>
        <w:rPr>
          <w:rFonts w:asciiTheme="majorHAnsi" w:eastAsia="Times New Roman" w:hAnsiTheme="majorHAnsi" w:cstheme="majorHAnsi"/>
          <w:b/>
          <w:color w:val="0070C0"/>
          <w:sz w:val="28"/>
        </w:rPr>
      </w:pPr>
      <w:r w:rsidRPr="00C24FB4">
        <w:rPr>
          <w:rFonts w:asciiTheme="majorHAnsi" w:eastAsia="Times New Roman" w:hAnsiTheme="majorHAnsi" w:cstheme="majorHAnsi"/>
          <w:b/>
          <w:color w:val="0070C0"/>
          <w:sz w:val="28"/>
        </w:rPr>
        <w:t>La notion de branche d’activité</w:t>
      </w:r>
    </w:p>
    <w:p w:rsidR="00A72A7B" w:rsidRPr="00C24FB4" w:rsidRDefault="00A72A7B" w:rsidP="00C24FB4">
      <w:pPr>
        <w:spacing w:after="120"/>
        <w:jc w:val="both"/>
        <w:rPr>
          <w:rFonts w:asciiTheme="majorHAnsi" w:eastAsia="Times New Roman" w:hAnsiTheme="majorHAnsi" w:cstheme="majorHAnsi"/>
          <w:b/>
          <w:sz w:val="24"/>
          <w:szCs w:val="20"/>
        </w:rPr>
      </w:pPr>
    </w:p>
    <w:p w:rsidR="00A72A7B" w:rsidRPr="00C24FB4" w:rsidRDefault="00CD0F67" w:rsidP="00C24FB4">
      <w:pPr>
        <w:spacing w:after="12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</w:rPr>
        <w:t>Une branche d’activité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 xml:space="preserve"> regroupe toutes les unités de production homogènes, c’est-à-dire qui fabriquent les mêmes produits ou les mêmes services.</w:t>
      </w:r>
    </w:p>
    <w:p w:rsidR="00A72A7B" w:rsidRPr="00C24FB4" w:rsidRDefault="00CD0F67" w:rsidP="00C24FB4">
      <w:pPr>
        <w:spacing w:after="12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lastRenderedPageBreak/>
        <w:t>Intérêts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 xml:space="preserve"> : l’analyse par branche permet d’étudier les marchés de produits : marché porteur ou en déclin, degré 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de pénétration du marché intérieur, situation concurrentielle (oligopole, concurrence …)</w:t>
      </w:r>
    </w:p>
    <w:p w:rsidR="00A72A7B" w:rsidRPr="00C24FB4" w:rsidRDefault="00CD0F67" w:rsidP="00C24FB4">
      <w:pPr>
        <w:spacing w:after="12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Limites 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: Il n’y a pas de prise en compte des liens et des relations entre les divers acteurs qui participent au processus de production.</w:t>
      </w:r>
    </w:p>
    <w:p w:rsidR="00A72A7B" w:rsidRPr="00C24FB4" w:rsidRDefault="00A72A7B" w:rsidP="00C24FB4">
      <w:pPr>
        <w:spacing w:after="0"/>
        <w:rPr>
          <w:rFonts w:asciiTheme="majorHAnsi" w:eastAsia="Times New Roman" w:hAnsiTheme="majorHAnsi" w:cstheme="majorHAnsi"/>
          <w:sz w:val="28"/>
        </w:rPr>
      </w:pPr>
    </w:p>
    <w:p w:rsidR="00A72A7B" w:rsidRPr="00C24FB4" w:rsidRDefault="00CD0F67" w:rsidP="00C24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firstLine="0"/>
        <w:rPr>
          <w:rFonts w:asciiTheme="majorHAnsi" w:eastAsia="Times New Roman" w:hAnsiTheme="majorHAnsi" w:cstheme="majorHAnsi"/>
          <w:b/>
          <w:color w:val="0070C0"/>
          <w:sz w:val="28"/>
        </w:rPr>
      </w:pPr>
      <w:r w:rsidRPr="00C24FB4">
        <w:rPr>
          <w:rFonts w:asciiTheme="majorHAnsi" w:eastAsia="Times New Roman" w:hAnsiTheme="majorHAnsi" w:cstheme="majorHAnsi"/>
          <w:b/>
          <w:color w:val="0070C0"/>
          <w:sz w:val="28"/>
        </w:rPr>
        <w:t>La notion de filière</w:t>
      </w:r>
    </w:p>
    <w:p w:rsidR="00A72A7B" w:rsidRPr="00C24FB4" w:rsidRDefault="00A72A7B" w:rsidP="00C24FB4">
      <w:pPr>
        <w:spacing w:after="0"/>
        <w:rPr>
          <w:rFonts w:asciiTheme="majorHAnsi" w:eastAsia="Times New Roman" w:hAnsiTheme="majorHAnsi" w:cstheme="majorHAnsi"/>
          <w:b/>
          <w:sz w:val="28"/>
        </w:rPr>
      </w:pPr>
    </w:p>
    <w:p w:rsidR="00A72A7B" w:rsidRPr="00C24FB4" w:rsidRDefault="00CD0F67" w:rsidP="00C24FB4">
      <w:pPr>
        <w:spacing w:after="24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</w:rPr>
        <w:t>Une filière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 xml:space="preserve"> désigne couramment l’ensemble des activités économiques qui concurrent, d’amont en aval, à la réalisation d’un produit fini. On parle ainsi de filière électronique ou de filière automobile (de l’acier du véhicule en passant par les équipements)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. La filière intègre en général plusieurs branches.</w:t>
      </w:r>
    </w:p>
    <w:p w:rsidR="00A72A7B" w:rsidRPr="00C24FB4" w:rsidRDefault="00CD0F67" w:rsidP="00C24FB4">
      <w:pPr>
        <w:spacing w:after="12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Intérêts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 : La notion de filière permet globalement de prendre en considération un ensemble très hétérogène d’agents interdépendants liés par un sort commun et des contraintes macro-économiques. Elle perme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t de préciser les relations économiques entre les différents acteurs et de positionner leur stratégie.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C’est un élément de repérage des pôles de compétitivité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C’est un outil qui offre une vision globale des différentes facettes du système productif : acteurs, marchés, relations interentreprises, technologie …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C’est un outil d’analyse de la dynamique des systèmes de production concernant les techniques, les struc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tures, les agents et les modes de régulation.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Elle constitue un cadre de la politique économique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C’est un instrument d’élaboration des stratégies de firmes.</w:t>
      </w:r>
    </w:p>
    <w:p w:rsidR="00A72A7B" w:rsidRPr="00C24FB4" w:rsidRDefault="00CD0F67" w:rsidP="00C24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firstLine="0"/>
        <w:contextualSpacing/>
        <w:jc w:val="both"/>
        <w:rPr>
          <w:rFonts w:asciiTheme="majorHAnsi" w:hAnsiTheme="majorHAnsi" w:cstheme="majorHAnsi"/>
          <w:b/>
          <w:color w:val="000000"/>
          <w:sz w:val="28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C’est un outil de description et d’analyse du système productif qui permet une meilleure compréhens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ion de la structure, du fonctionnement et de l’évolution du système qui produit, transforme et distribue un produit, en prenant en compte les techniques, les entreprises, les circuits, les marchés …</w:t>
      </w:r>
    </w:p>
    <w:p w:rsidR="00A72A7B" w:rsidRPr="00C24FB4" w:rsidRDefault="00CD0F67" w:rsidP="00C24FB4">
      <w:pPr>
        <w:spacing w:after="0"/>
        <w:jc w:val="both"/>
        <w:rPr>
          <w:rFonts w:asciiTheme="majorHAnsi" w:eastAsia="Times New Roman" w:hAnsiTheme="majorHAnsi" w:cstheme="majorHAnsi"/>
          <w:sz w:val="24"/>
          <w:szCs w:val="20"/>
        </w:rPr>
      </w:pPr>
      <w:proofErr w:type="gramStart"/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Limites</w:t>
      </w:r>
      <w:proofErr w:type="gramEnd"/>
      <w:r w:rsidRPr="00C24FB4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 xml:space="preserve"> : </w:t>
      </w:r>
    </w:p>
    <w:p w:rsidR="00A72A7B" w:rsidRPr="00C24FB4" w:rsidRDefault="00CD0F67" w:rsidP="00C24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Problème de disponibilité de certaines données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.</w:t>
      </w:r>
    </w:p>
    <w:p w:rsidR="00A72A7B" w:rsidRPr="00C24FB4" w:rsidRDefault="00CD0F67" w:rsidP="00C24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 xml:space="preserve">Difficulté méthodologique du découpage liée à l’hétérogénéité fonctionnelle. </w:t>
      </w:r>
      <w:r w:rsidRPr="00C24FB4">
        <w:rPr>
          <w:rFonts w:asciiTheme="majorHAnsi" w:eastAsia="Times New Roman" w:hAnsiTheme="majorHAnsi" w:cstheme="majorHAnsi"/>
          <w:i/>
          <w:color w:val="000000"/>
          <w:sz w:val="24"/>
          <w:szCs w:val="20"/>
        </w:rPr>
        <w:t>Exemple : où s’arrêter dans la construction de la filière ?</w:t>
      </w:r>
    </w:p>
    <w:p w:rsidR="00A72A7B" w:rsidRPr="00C24FB4" w:rsidRDefault="00A72A7B" w:rsidP="00C24F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A72A7B" w:rsidRPr="00C24FB4" w:rsidRDefault="00A72A7B" w:rsidP="00C24FB4">
      <w:pPr>
        <w:spacing w:after="0"/>
        <w:jc w:val="both"/>
        <w:rPr>
          <w:rFonts w:asciiTheme="majorHAnsi" w:eastAsia="Times New Roman" w:hAnsiTheme="majorHAnsi" w:cstheme="majorHAnsi"/>
          <w:sz w:val="24"/>
          <w:szCs w:val="20"/>
        </w:rPr>
      </w:pPr>
    </w:p>
    <w:p w:rsidR="00A72A7B" w:rsidRPr="00C24FB4" w:rsidRDefault="00CD0F67" w:rsidP="00C24FB4">
      <w:pPr>
        <w:spacing w:after="0"/>
        <w:jc w:val="center"/>
        <w:rPr>
          <w:rFonts w:asciiTheme="majorHAnsi" w:eastAsia="Times New Roman" w:hAnsiTheme="majorHAnsi" w:cstheme="majorHAnsi"/>
          <w:b/>
          <w:sz w:val="28"/>
          <w:u w:val="single"/>
        </w:rPr>
      </w:pPr>
      <w:r w:rsidRPr="00C24FB4">
        <w:rPr>
          <w:rFonts w:asciiTheme="majorHAnsi" w:eastAsia="Times New Roman" w:hAnsiTheme="majorHAnsi" w:cstheme="majorHAnsi"/>
          <w:b/>
          <w:sz w:val="28"/>
          <w:u w:val="single"/>
        </w:rPr>
        <w:t xml:space="preserve">LEXIQUE </w:t>
      </w:r>
    </w:p>
    <w:p w:rsidR="00A72A7B" w:rsidRPr="00C24FB4" w:rsidRDefault="00CD0F67" w:rsidP="00C24FB4">
      <w:pPr>
        <w:spacing w:after="0"/>
        <w:jc w:val="both"/>
        <w:rPr>
          <w:rFonts w:asciiTheme="majorHAnsi" w:eastAsia="Times New Roman" w:hAnsiTheme="majorHAnsi" w:cstheme="majorHAnsi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sz w:val="24"/>
          <w:szCs w:val="20"/>
        </w:rPr>
        <w:tab/>
      </w:r>
    </w:p>
    <w:p w:rsidR="00A72A7B" w:rsidRPr="00C24FB4" w:rsidRDefault="00CD0F67" w:rsidP="00C2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firstLine="0"/>
        <w:contextualSpacing/>
        <w:jc w:val="both"/>
        <w:rPr>
          <w:rFonts w:asciiTheme="majorHAnsi" w:hAnsiTheme="majorHAnsi" w:cstheme="majorHAnsi"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color w:val="000000"/>
          <w:sz w:val="24"/>
          <w:szCs w:val="20"/>
        </w:rPr>
        <w:t>Les facteurs clés de succès : FCS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 xml:space="preserve"> correspondent aux éléments stratégiques qu’une organisation doit </w:t>
      </w:r>
      <w:r w:rsidRPr="00C24FB4">
        <w:rPr>
          <w:rFonts w:asciiTheme="majorHAnsi" w:eastAsia="Times New Roman" w:hAnsiTheme="majorHAnsi" w:cstheme="majorHAnsi"/>
          <w:sz w:val="24"/>
          <w:szCs w:val="20"/>
        </w:rPr>
        <w:t>maîtriser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 xml:space="preserve"> pour réussir dans un secteur donné et surpasser la concurrence. Les FSC sont rattachés à l’analyse de l’environnement. Ils caractérisent dans un moment donné les règles du jeu d’un secteur. C’est un préalable à la mise en place des ressources de 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l’organisation et à l’identification des compétences fondamentales.</w:t>
      </w:r>
    </w:p>
    <w:p w:rsidR="00A72A7B" w:rsidRPr="00C24FB4" w:rsidRDefault="00A72A7B" w:rsidP="00C24FB4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A72A7B" w:rsidRPr="00C24FB4" w:rsidRDefault="00CD0F67" w:rsidP="00C2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0"/>
        </w:rPr>
      </w:pPr>
      <w:r w:rsidRPr="00C24FB4">
        <w:rPr>
          <w:rFonts w:asciiTheme="majorHAnsi" w:eastAsia="Times New Roman" w:hAnsiTheme="majorHAnsi" w:cstheme="majorHAnsi"/>
          <w:b/>
          <w:color w:val="000000"/>
          <w:sz w:val="24"/>
          <w:szCs w:val="20"/>
        </w:rPr>
        <w:t xml:space="preserve">Activité principale : </w:t>
      </w:r>
      <w:r w:rsidRPr="00C24FB4">
        <w:rPr>
          <w:rFonts w:asciiTheme="majorHAnsi" w:eastAsia="Times New Roman" w:hAnsiTheme="majorHAnsi" w:cstheme="majorHAnsi"/>
          <w:color w:val="000000"/>
          <w:sz w:val="24"/>
          <w:szCs w:val="20"/>
        </w:rPr>
        <w:t>Elle correspond à l’activité pour laquelle l’entreprise réalise le plus grand chiffre d’affaires ou pour laquelle elle a les effectifs salariés les plus importants.</w:t>
      </w:r>
    </w:p>
    <w:sectPr w:rsidR="00A72A7B" w:rsidRPr="00C24FB4" w:rsidSect="00C24FB4">
      <w:pgSz w:w="11906" w:h="16838"/>
      <w:pgMar w:top="851" w:right="849" w:bottom="709" w:left="993" w:header="708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F67">
      <w:pPr>
        <w:spacing w:after="0" w:line="240" w:lineRule="auto"/>
      </w:pPr>
      <w:r>
        <w:separator/>
      </w:r>
    </w:p>
  </w:endnote>
  <w:endnote w:type="continuationSeparator" w:id="0">
    <w:p w:rsidR="00000000" w:rsidRDefault="00C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F67">
      <w:pPr>
        <w:spacing w:after="0" w:line="240" w:lineRule="auto"/>
      </w:pPr>
      <w:r>
        <w:separator/>
      </w:r>
    </w:p>
  </w:footnote>
  <w:footnote w:type="continuationSeparator" w:id="0">
    <w:p w:rsidR="00000000" w:rsidRDefault="00CD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48"/>
    <w:multiLevelType w:val="multilevel"/>
    <w:tmpl w:val="27E03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182584"/>
    <w:multiLevelType w:val="multilevel"/>
    <w:tmpl w:val="CFEAD2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494EDA"/>
    <w:multiLevelType w:val="multilevel"/>
    <w:tmpl w:val="A82C37F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CF0305"/>
    <w:multiLevelType w:val="multilevel"/>
    <w:tmpl w:val="177C31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CF76E2"/>
    <w:multiLevelType w:val="multilevel"/>
    <w:tmpl w:val="321E02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8C133D"/>
    <w:multiLevelType w:val="multilevel"/>
    <w:tmpl w:val="7806E2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2A7B"/>
    <w:rsid w:val="00A72A7B"/>
    <w:rsid w:val="00C24FB4"/>
    <w:rsid w:val="00C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FB4"/>
  </w:style>
  <w:style w:type="paragraph" w:styleId="Pieddepage">
    <w:name w:val="footer"/>
    <w:basedOn w:val="Normal"/>
    <w:link w:val="PieddepageCar"/>
    <w:uiPriority w:val="99"/>
    <w:unhideWhenUsed/>
    <w:rsid w:val="00C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FB4"/>
  </w:style>
  <w:style w:type="paragraph" w:styleId="Pieddepage">
    <w:name w:val="footer"/>
    <w:basedOn w:val="Normal"/>
    <w:link w:val="PieddepageCar"/>
    <w:uiPriority w:val="99"/>
    <w:unhideWhenUsed/>
    <w:rsid w:val="00C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2</cp:revision>
  <dcterms:created xsi:type="dcterms:W3CDTF">2018-09-08T19:08:00Z</dcterms:created>
  <dcterms:modified xsi:type="dcterms:W3CDTF">2018-09-08T19:08:00Z</dcterms:modified>
</cp:coreProperties>
</file>