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AD" w:rsidRPr="00521B49" w:rsidRDefault="002E25AD" w:rsidP="002E25AD">
      <w:pPr>
        <w:shd w:val="clear" w:color="auto" w:fill="FFFFFF"/>
        <w:spacing w:before="150" w:after="180" w:line="240" w:lineRule="auto"/>
        <w:jc w:val="center"/>
        <w:outlineLvl w:val="0"/>
        <w:rPr>
          <w:rFonts w:ascii="Arial" w:eastAsia="Times New Roman" w:hAnsi="Arial" w:cs="Arial"/>
          <w:b/>
          <w:bCs/>
          <w:color w:val="333333"/>
          <w:kern w:val="36"/>
          <w:sz w:val="36"/>
          <w:szCs w:val="48"/>
          <w:lang w:eastAsia="fr-FR"/>
        </w:rPr>
      </w:pPr>
      <w:r w:rsidRPr="00521B49">
        <w:rPr>
          <w:rFonts w:ascii="Arial" w:eastAsia="Times New Roman" w:hAnsi="Arial" w:cs="Arial"/>
          <w:b/>
          <w:bCs/>
          <w:color w:val="333333"/>
          <w:kern w:val="36"/>
          <w:sz w:val="36"/>
          <w:szCs w:val="48"/>
          <w:lang w:eastAsia="fr-FR"/>
        </w:rPr>
        <w:t>Les ménages modestes écrasés par le poids des dépenses de logement</w:t>
      </w:r>
    </w:p>
    <w:p w:rsidR="002E25AD" w:rsidRPr="00521B49" w:rsidRDefault="002E25AD" w:rsidP="002E25AD">
      <w:pPr>
        <w:spacing w:after="0" w:line="240" w:lineRule="auto"/>
        <w:rPr>
          <w:rFonts w:ascii="Times New Roman" w:eastAsia="Times New Roman" w:hAnsi="Times New Roman" w:cs="Times New Roman"/>
          <w:sz w:val="20"/>
          <w:szCs w:val="24"/>
          <w:lang w:eastAsia="fr-FR"/>
        </w:rPr>
      </w:pPr>
      <w:r w:rsidRPr="00521B49">
        <w:rPr>
          <w:rFonts w:ascii="Arial" w:eastAsia="Times New Roman" w:hAnsi="Arial" w:cs="Arial"/>
          <w:b/>
          <w:bCs/>
          <w:caps/>
          <w:color w:val="FFFFFF"/>
          <w:sz w:val="20"/>
          <w:szCs w:val="24"/>
          <w:shd w:val="clear" w:color="auto" w:fill="674ED6"/>
          <w:lang w:eastAsia="fr-FR"/>
        </w:rPr>
        <w:t>DONNÉES</w:t>
      </w:r>
      <w:r w:rsidRPr="00521B49">
        <w:rPr>
          <w:rFonts w:ascii="Times New Roman" w:eastAsia="Times New Roman" w:hAnsi="Times New Roman" w:cs="Times New Roman"/>
          <w:color w:val="333333"/>
          <w:sz w:val="18"/>
          <w:shd w:val="clear" w:color="auto" w:fill="FFFFFF"/>
          <w:lang w:eastAsia="fr-FR"/>
        </w:rPr>
        <w:t> </w:t>
      </w:r>
      <w:r w:rsidRPr="00521B49">
        <w:rPr>
          <w:rFonts w:ascii="Times New Roman" w:eastAsia="Times New Roman" w:hAnsi="Times New Roman" w:cs="Times New Roman"/>
          <w:color w:val="696868"/>
          <w:sz w:val="20"/>
          <w:szCs w:val="24"/>
          <w:shd w:val="clear" w:color="auto" w:fill="FFFFFF"/>
          <w:lang w:eastAsia="fr-FR"/>
        </w:rPr>
        <w:t>12 décembre 2017</w:t>
      </w:r>
    </w:p>
    <w:p w:rsidR="002E25AD" w:rsidRPr="00521B49" w:rsidRDefault="002E25AD" w:rsidP="002E25AD">
      <w:pPr>
        <w:shd w:val="clear" w:color="auto" w:fill="FFFFFF"/>
        <w:spacing w:line="240" w:lineRule="auto"/>
        <w:rPr>
          <w:rFonts w:ascii="Arial" w:eastAsia="Times New Roman" w:hAnsi="Arial" w:cs="Arial"/>
          <w:b/>
          <w:bCs/>
          <w:color w:val="4070DB"/>
          <w:sz w:val="20"/>
          <w:szCs w:val="24"/>
          <w:lang w:eastAsia="fr-FR"/>
        </w:rPr>
      </w:pPr>
      <w:r w:rsidRPr="00521B49">
        <w:rPr>
          <w:rFonts w:ascii="Arial" w:eastAsia="Times New Roman" w:hAnsi="Arial" w:cs="Arial"/>
          <w:b/>
          <w:bCs/>
          <w:color w:val="4070DB"/>
          <w:sz w:val="20"/>
          <w:szCs w:val="24"/>
          <w:lang w:eastAsia="fr-FR"/>
        </w:rPr>
        <w:t>Les 10 % les plus modestes consacrent 42 % de leurs revenus au logement, soit quatre fois plus que les 10 % les plus aisés. Le poids des dépenses de logement s’est fortement accentué depuis 2001, essentiellement pour les ménages les plus pauvres.</w:t>
      </w:r>
    </w:p>
    <w:p w:rsidR="002E25AD" w:rsidRPr="00521B49" w:rsidRDefault="002E25AD" w:rsidP="002E25AD">
      <w:pPr>
        <w:shd w:val="clear" w:color="auto" w:fill="FFFFFF"/>
        <w:spacing w:before="180" w:after="0" w:line="240" w:lineRule="auto"/>
        <w:jc w:val="both"/>
        <w:rPr>
          <w:rFonts w:ascii="Times New Roman" w:eastAsia="Times New Roman" w:hAnsi="Times New Roman" w:cs="Times New Roman"/>
          <w:color w:val="333333"/>
          <w:lang w:eastAsia="fr-FR"/>
        </w:rPr>
      </w:pPr>
      <w:r w:rsidRPr="00521B49">
        <w:rPr>
          <w:rFonts w:ascii="Times New Roman" w:eastAsia="Times New Roman" w:hAnsi="Times New Roman" w:cs="Times New Roman"/>
          <w:color w:val="333333"/>
          <w:lang w:eastAsia="fr-FR"/>
        </w:rPr>
        <w:t>En moyenne, les Français consacrent 18,3 % de leurs revenus aux dépenses de logement, selon les données 2013 de l’Insee qui intègrent les loyers, les remboursements d’emprunt et les charges mais déduisent les aides au logement. Ce taux d’effort (part des dépenses liées au logement rapportée au revenu) a progressé de plus de deux points en douze ans : il était de 16,1 % en 2001. Mais cette moyenne cache des variations importantes : la part des dépenses de logement dans les revenus est passée de 31,4 à 42,1 % pour les 10 % des ménages les plus pauvres alors qu’elle a évolué de 9,8 % à 10,8 % pour les 10 % les plus riches.</w:t>
      </w:r>
    </w:p>
    <w:p w:rsidR="002E25AD" w:rsidRPr="00521B49" w:rsidRDefault="002E25AD" w:rsidP="002E25AD">
      <w:pPr>
        <w:shd w:val="clear" w:color="auto" w:fill="FFFFFF"/>
        <w:spacing w:line="240" w:lineRule="auto"/>
        <w:jc w:val="both"/>
        <w:rPr>
          <w:rFonts w:ascii="Times New Roman" w:eastAsia="Times New Roman" w:hAnsi="Times New Roman" w:cs="Times New Roman"/>
          <w:color w:val="333333"/>
          <w:lang w:eastAsia="fr-FR"/>
        </w:rPr>
      </w:pPr>
      <w:r w:rsidRPr="00521B49">
        <w:rPr>
          <w:rFonts w:ascii="Times New Roman" w:eastAsia="Times New Roman" w:hAnsi="Times New Roman" w:cs="Times New Roman"/>
          <w:color w:val="333333"/>
          <w:lang w:eastAsia="fr-FR"/>
        </w:rPr>
        <w:t>Rapporté à leurs revenus, le logement coûte quatre fois plus cher aux pauvres qu’aux plus aisés, ce qui réduit considérablement leur reste à vivre</w:t>
      </w:r>
      <w:r w:rsidRPr="00521B49">
        <w:rPr>
          <w:rFonts w:ascii="Times New Roman" w:eastAsia="Times New Roman" w:hAnsi="Times New Roman" w:cs="Times New Roman"/>
          <w:color w:val="333333"/>
          <w:spacing w:val="15"/>
          <w:lang w:eastAsia="fr-FR"/>
        </w:rPr>
        <w:t> [</w:t>
      </w:r>
      <w:hyperlink r:id="rId5" w:anchor="nb1" w:tooltip="Ce dont le ménage dispose quand il a payé ses charges fixes." w:history="1">
        <w:r w:rsidRPr="00521B49">
          <w:rPr>
            <w:rFonts w:ascii="Times New Roman" w:eastAsia="Times New Roman" w:hAnsi="Times New Roman" w:cs="Times New Roman"/>
            <w:color w:val="4070DB"/>
            <w:spacing w:val="15"/>
            <w:u w:val="single"/>
            <w:lang w:eastAsia="fr-FR"/>
          </w:rPr>
          <w:t>1</w:t>
        </w:r>
      </w:hyperlink>
      <w:r w:rsidRPr="00521B49">
        <w:rPr>
          <w:rFonts w:ascii="Times New Roman" w:eastAsia="Times New Roman" w:hAnsi="Times New Roman" w:cs="Times New Roman"/>
          <w:color w:val="333333"/>
          <w:spacing w:val="15"/>
          <w:lang w:eastAsia="fr-FR"/>
        </w:rPr>
        <w:t>]</w:t>
      </w:r>
      <w:r w:rsidRPr="00521B49">
        <w:rPr>
          <w:rFonts w:ascii="Times New Roman" w:eastAsia="Times New Roman" w:hAnsi="Times New Roman" w:cs="Times New Roman"/>
          <w:color w:val="333333"/>
          <w:lang w:eastAsia="fr-FR"/>
        </w:rPr>
        <w:t>. La progression du taux d’effort date du début des années 1980</w:t>
      </w:r>
      <w:r w:rsidRPr="00521B49">
        <w:rPr>
          <w:rFonts w:ascii="Times New Roman" w:eastAsia="Times New Roman" w:hAnsi="Times New Roman" w:cs="Times New Roman"/>
          <w:color w:val="333333"/>
          <w:spacing w:val="15"/>
          <w:lang w:eastAsia="fr-FR"/>
        </w:rPr>
        <w:t> [</w:t>
      </w:r>
      <w:hyperlink r:id="rId6" w:anchor="nb2" w:tooltip="Voir « Trente ans d’évolution des dépenses de logement des locataires du parc (...)" w:history="1">
        <w:r w:rsidRPr="00521B49">
          <w:rPr>
            <w:rFonts w:ascii="Times New Roman" w:eastAsia="Times New Roman" w:hAnsi="Times New Roman" w:cs="Times New Roman"/>
            <w:color w:val="4070DB"/>
            <w:spacing w:val="15"/>
            <w:u w:val="single"/>
            <w:lang w:eastAsia="fr-FR"/>
          </w:rPr>
          <w:t>2</w:t>
        </w:r>
      </w:hyperlink>
      <w:r w:rsidRPr="00521B49">
        <w:rPr>
          <w:rFonts w:ascii="Times New Roman" w:eastAsia="Times New Roman" w:hAnsi="Times New Roman" w:cs="Times New Roman"/>
          <w:color w:val="333333"/>
          <w:spacing w:val="15"/>
          <w:lang w:eastAsia="fr-FR"/>
        </w:rPr>
        <w:t>]</w:t>
      </w:r>
      <w:r w:rsidRPr="00521B49">
        <w:rPr>
          <w:rFonts w:ascii="Times New Roman" w:eastAsia="Times New Roman" w:hAnsi="Times New Roman" w:cs="Times New Roman"/>
          <w:color w:val="333333"/>
          <w:lang w:eastAsia="fr-FR"/>
        </w:rPr>
        <w:t>. Sur longue période, le coût du logement a augmenté pour les ménages sous l’effet de la progression des prix de l’immobilier (notamment dans les plus grandes villes), des loyers et des charges (liées en partie au coût de l’énergie). Dans la période plus récente, ces facteurs jouent un peu moins, mais ce taux d’effort reste similaire pour les plus modestes dont les rev</w:t>
      </w:r>
      <w:r>
        <w:rPr>
          <w:rFonts w:ascii="Times New Roman" w:eastAsia="Times New Roman" w:hAnsi="Times New Roman" w:cs="Times New Roman"/>
          <w:color w:val="333333"/>
          <w:lang w:eastAsia="fr-FR"/>
        </w:rPr>
        <w:t xml:space="preserve">enus stagnent, voire </w:t>
      </w:r>
      <w:proofErr w:type="gramStart"/>
      <w:r>
        <w:rPr>
          <w:rFonts w:ascii="Times New Roman" w:eastAsia="Times New Roman" w:hAnsi="Times New Roman" w:cs="Times New Roman"/>
          <w:color w:val="333333"/>
          <w:lang w:eastAsia="fr-FR"/>
        </w:rPr>
        <w:t xml:space="preserve">diminuent </w:t>
      </w:r>
      <w:r w:rsidRPr="00521B49">
        <w:rPr>
          <w:rFonts w:ascii="Times New Roman" w:eastAsia="Times New Roman" w:hAnsi="Times New Roman" w:cs="Times New Roman"/>
          <w:color w:val="333333"/>
          <w:lang w:eastAsia="fr-FR"/>
        </w:rPr>
        <w:t>. </w:t>
      </w:r>
      <w:proofErr w:type="gramEnd"/>
      <w:r w:rsidRPr="00521B49">
        <w:rPr>
          <w:rFonts w:ascii="Times New Roman" w:eastAsia="Times New Roman" w:hAnsi="Times New Roman" w:cs="Times New Roman"/>
          <w:color w:val="333333"/>
          <w:lang w:eastAsia="fr-FR"/>
        </w:rPr>
        <w:br/>
        <w:t xml:space="preserve">Quand les prix de l’immobilier s’élèvent, une partie des propriétaires réalisent des plus-values importantes. Les bailleurs s’enrichissent dans la mesure </w:t>
      </w:r>
      <w:proofErr w:type="gramStart"/>
      <w:r w:rsidRPr="00521B49">
        <w:rPr>
          <w:rFonts w:ascii="Times New Roman" w:eastAsia="Times New Roman" w:hAnsi="Times New Roman" w:cs="Times New Roman"/>
          <w:color w:val="333333"/>
          <w:lang w:eastAsia="fr-FR"/>
        </w:rPr>
        <w:t>ou</w:t>
      </w:r>
      <w:proofErr w:type="gramEnd"/>
      <w:r w:rsidRPr="00521B49">
        <w:rPr>
          <w:rFonts w:ascii="Times New Roman" w:eastAsia="Times New Roman" w:hAnsi="Times New Roman" w:cs="Times New Roman"/>
          <w:color w:val="333333"/>
          <w:lang w:eastAsia="fr-FR"/>
        </w:rPr>
        <w:t xml:space="preserve"> la progression des loyers va au-delà de ce qu’une élévation de la qualité (isolation, surface, etc.) des logements</w:t>
      </w:r>
      <w:r w:rsidRPr="00521B49">
        <w:rPr>
          <w:rFonts w:ascii="Times New Roman" w:eastAsia="Times New Roman" w:hAnsi="Times New Roman" w:cs="Times New Roman"/>
          <w:color w:val="333333"/>
          <w:spacing w:val="15"/>
          <w:lang w:eastAsia="fr-FR"/>
        </w:rPr>
        <w:t> [</w:t>
      </w:r>
      <w:hyperlink r:id="rId7" w:anchor="nb3" w:tooltip="Voir « L’évolution des inégalités entre ménages face aux dépenses de logement (...)" w:history="1">
        <w:r w:rsidRPr="00521B49">
          <w:rPr>
            <w:rFonts w:ascii="Times New Roman" w:eastAsia="Times New Roman" w:hAnsi="Times New Roman" w:cs="Times New Roman"/>
            <w:color w:val="4070DB"/>
            <w:spacing w:val="15"/>
            <w:u w:val="single"/>
            <w:lang w:eastAsia="fr-FR"/>
          </w:rPr>
          <w:t>3</w:t>
        </w:r>
      </w:hyperlink>
      <w:r w:rsidRPr="00521B49">
        <w:rPr>
          <w:rFonts w:ascii="Times New Roman" w:eastAsia="Times New Roman" w:hAnsi="Times New Roman" w:cs="Times New Roman"/>
          <w:color w:val="333333"/>
          <w:spacing w:val="15"/>
          <w:lang w:eastAsia="fr-FR"/>
        </w:rPr>
        <w:t>]</w:t>
      </w:r>
      <w:r w:rsidRPr="00521B49">
        <w:rPr>
          <w:rFonts w:ascii="Times New Roman" w:eastAsia="Times New Roman" w:hAnsi="Times New Roman" w:cs="Times New Roman"/>
          <w:color w:val="333333"/>
          <w:lang w:eastAsia="fr-FR"/>
        </w:rPr>
        <w:t> peut justifier. Une part importante de la richesse a été transférée de locataires souvent jeunes vers les propriétaires plus âgés</w:t>
      </w:r>
      <w:r w:rsidRPr="00521B49">
        <w:rPr>
          <w:rFonts w:ascii="Times New Roman" w:eastAsia="Times New Roman" w:hAnsi="Times New Roman" w:cs="Times New Roman"/>
          <w:color w:val="333333"/>
          <w:spacing w:val="15"/>
          <w:lang w:eastAsia="fr-FR"/>
        </w:rPr>
        <w:t> [</w:t>
      </w:r>
      <w:hyperlink r:id="rId8" w:anchor="nb4" w:tooltip="Voir « A qui profite la hausse des loyers », Centre d’observation de la (...)" w:history="1">
        <w:r w:rsidRPr="00521B49">
          <w:rPr>
            <w:rFonts w:ascii="Times New Roman" w:eastAsia="Times New Roman" w:hAnsi="Times New Roman" w:cs="Times New Roman"/>
            <w:color w:val="4070DB"/>
            <w:spacing w:val="15"/>
            <w:u w:val="single"/>
            <w:lang w:eastAsia="fr-FR"/>
          </w:rPr>
          <w:t>4</w:t>
        </w:r>
      </w:hyperlink>
      <w:r w:rsidRPr="00521B49">
        <w:rPr>
          <w:rFonts w:ascii="Times New Roman" w:eastAsia="Times New Roman" w:hAnsi="Times New Roman" w:cs="Times New Roman"/>
          <w:color w:val="333333"/>
          <w:spacing w:val="15"/>
          <w:lang w:eastAsia="fr-FR"/>
        </w:rPr>
        <w:t>]</w:t>
      </w:r>
      <w:r w:rsidRPr="00521B49">
        <w:rPr>
          <w:rFonts w:ascii="Times New Roman" w:eastAsia="Times New Roman" w:hAnsi="Times New Roman" w:cs="Times New Roman"/>
          <w:color w:val="333333"/>
          <w:lang w:eastAsia="fr-FR"/>
        </w:rPr>
        <w:t>.</w:t>
      </w:r>
    </w:p>
    <w:tbl>
      <w:tblPr>
        <w:tblW w:w="7711" w:type="dxa"/>
        <w:jc w:val="center"/>
        <w:tblInd w:w="-369" w:type="dxa"/>
        <w:tblCellMar>
          <w:top w:w="15" w:type="dxa"/>
          <w:left w:w="15" w:type="dxa"/>
          <w:bottom w:w="15" w:type="dxa"/>
          <w:right w:w="15" w:type="dxa"/>
        </w:tblCellMar>
        <w:tblLook w:val="04A0" w:firstRow="1" w:lastRow="0" w:firstColumn="1" w:lastColumn="0" w:noHBand="0" w:noVBand="1"/>
      </w:tblPr>
      <w:tblGrid>
        <w:gridCol w:w="429"/>
        <w:gridCol w:w="4532"/>
        <w:gridCol w:w="838"/>
        <w:gridCol w:w="838"/>
        <w:gridCol w:w="838"/>
        <w:gridCol w:w="236"/>
      </w:tblGrid>
      <w:tr w:rsidR="002E25AD" w:rsidRPr="00521B49" w:rsidTr="00864EE5">
        <w:trPr>
          <w:trHeight w:val="551"/>
          <w:tblHeader/>
          <w:jc w:val="center"/>
        </w:trPr>
        <w:tc>
          <w:tcPr>
            <w:tcW w:w="7711" w:type="dxa"/>
            <w:gridSpan w:val="6"/>
            <w:tcBorders>
              <w:top w:val="nil"/>
              <w:left w:val="nil"/>
              <w:bottom w:val="nil"/>
              <w:right w:val="nil"/>
            </w:tcBorders>
            <w:shd w:val="clear" w:color="auto" w:fill="4070DB"/>
            <w:tcMar>
              <w:top w:w="120" w:type="dxa"/>
              <w:left w:w="120" w:type="dxa"/>
              <w:bottom w:w="120" w:type="dxa"/>
              <w:right w:w="12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FFFFFF"/>
                <w:szCs w:val="24"/>
                <w:lang w:eastAsia="fr-FR"/>
              </w:rPr>
            </w:pPr>
            <w:r w:rsidRPr="00521B49">
              <w:rPr>
                <w:rFonts w:ascii="Arial" w:eastAsia="Times New Roman" w:hAnsi="Arial" w:cs="Arial"/>
                <w:b/>
                <w:bCs/>
                <w:color w:val="FFFFFF"/>
                <w:szCs w:val="24"/>
                <w:lang w:eastAsia="fr-FR"/>
              </w:rPr>
              <w:t>Poids des dépenses de logement selon les revenus</w:t>
            </w:r>
            <w:r>
              <w:rPr>
                <w:rFonts w:ascii="Arial" w:eastAsia="Times New Roman" w:hAnsi="Arial" w:cs="Arial"/>
                <w:b/>
                <w:bCs/>
                <w:color w:val="FFFFFF"/>
                <w:szCs w:val="24"/>
                <w:lang w:eastAsia="fr-FR"/>
              </w:rPr>
              <w:t xml:space="preserve"> </w:t>
            </w:r>
            <w:r w:rsidRPr="00521B49">
              <w:rPr>
                <w:rFonts w:ascii="Arial" w:eastAsia="Times New Roman" w:hAnsi="Arial" w:cs="Arial"/>
                <w:b/>
                <w:bCs/>
                <w:color w:val="FFFFFF"/>
                <w:szCs w:val="24"/>
                <w:lang w:eastAsia="fr-FR"/>
              </w:rPr>
              <w:t>Unité : %</w:t>
            </w:r>
          </w:p>
        </w:tc>
      </w:tr>
      <w:tr w:rsidR="002E25AD" w:rsidRPr="00521B49" w:rsidTr="00864EE5">
        <w:trPr>
          <w:gridBefore w:val="1"/>
          <w:gridAfter w:val="1"/>
          <w:wBefore w:w="369" w:type="dxa"/>
          <w:wAfter w:w="203" w:type="dxa"/>
          <w:tblHeader/>
          <w:jc w:val="center"/>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2001 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2006 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2013 </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10 % des ménages les plus pauvres</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31,4</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34,1</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42,1</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10 à 20 %</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22,9</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24,2</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28,5</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20 à 30 %</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21,3</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22,9</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25,3</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30 à 40 %</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20,6</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21,7</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23,5</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40 à 50 %</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19,6</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20,0</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22,3</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50 à 60 %</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18,3</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18,8</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21,0</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60 à 70 %</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17,0</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17,6</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19,0</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70 à 80 %</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15,7</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15,7</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17,6</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80 à 90 %</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13,9</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14,5</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15,1</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10 % les plus riches</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9,8</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10,0</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10,8</w:t>
            </w:r>
          </w:p>
        </w:tc>
      </w:tr>
      <w:tr w:rsidR="002E25AD" w:rsidRPr="00521B49" w:rsidTr="00864EE5">
        <w:trPr>
          <w:gridBefore w:val="1"/>
          <w:gridAfter w:val="1"/>
          <w:wBefore w:w="369" w:type="dxa"/>
          <w:wAfter w:w="203"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Ensemble</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16,1</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16,7</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18,3</w:t>
            </w:r>
          </w:p>
        </w:tc>
      </w:tr>
    </w:tbl>
    <w:p w:rsidR="002E25AD" w:rsidRPr="00521B49" w:rsidRDefault="002E25AD" w:rsidP="002E25AD">
      <w:pPr>
        <w:shd w:val="clear" w:color="auto" w:fill="FFFFFF"/>
        <w:spacing w:line="240" w:lineRule="auto"/>
        <w:jc w:val="both"/>
        <w:rPr>
          <w:rFonts w:ascii="Times New Roman" w:eastAsia="Times New Roman" w:hAnsi="Times New Roman" w:cs="Times New Roman"/>
          <w:color w:val="333333"/>
          <w:lang w:eastAsia="fr-FR"/>
        </w:rPr>
      </w:pPr>
      <w:r w:rsidRPr="00521B49">
        <w:rPr>
          <w:rFonts w:ascii="Times New Roman" w:eastAsia="Times New Roman" w:hAnsi="Times New Roman" w:cs="Times New Roman"/>
          <w:color w:val="333333"/>
          <w:lang w:eastAsia="fr-FR"/>
        </w:rPr>
        <w:t>Source : Insee, enquêtes Logement - © Observatoire des inégalités</w:t>
      </w:r>
    </w:p>
    <w:p w:rsidR="002E25AD" w:rsidRPr="00521B49" w:rsidRDefault="002E25AD" w:rsidP="002E25AD">
      <w:pPr>
        <w:shd w:val="clear" w:color="auto" w:fill="FFFFFF"/>
        <w:spacing w:before="300" w:after="150" w:line="240" w:lineRule="auto"/>
        <w:outlineLvl w:val="2"/>
        <w:rPr>
          <w:rFonts w:ascii="Arial" w:eastAsia="Times New Roman" w:hAnsi="Arial" w:cs="Arial"/>
          <w:b/>
          <w:bCs/>
          <w:color w:val="4070DB"/>
          <w:spacing w:val="6"/>
          <w:sz w:val="27"/>
          <w:szCs w:val="27"/>
          <w:lang w:eastAsia="fr-FR"/>
        </w:rPr>
      </w:pPr>
      <w:r w:rsidRPr="00521B49">
        <w:rPr>
          <w:rFonts w:ascii="Arial" w:eastAsia="Times New Roman" w:hAnsi="Arial" w:cs="Arial"/>
          <w:b/>
          <w:bCs/>
          <w:color w:val="4070DB"/>
          <w:spacing w:val="6"/>
          <w:sz w:val="27"/>
          <w:szCs w:val="27"/>
          <w:lang w:eastAsia="fr-FR"/>
        </w:rPr>
        <w:lastRenderedPageBreak/>
        <w:t>Un effort qui dépend du type de logement</w:t>
      </w:r>
    </w:p>
    <w:p w:rsidR="002E25AD" w:rsidRDefault="002E25AD" w:rsidP="002E25AD">
      <w:pPr>
        <w:shd w:val="clear" w:color="auto" w:fill="FFFFFF"/>
        <w:spacing w:before="180"/>
        <w:jc w:val="both"/>
        <w:rPr>
          <w:rFonts w:ascii="Times New Roman" w:eastAsia="Times New Roman" w:hAnsi="Times New Roman" w:cs="Times New Roman"/>
          <w:color w:val="333333"/>
          <w:lang w:eastAsia="fr-FR"/>
        </w:rPr>
      </w:pPr>
      <w:r w:rsidRPr="00521B49">
        <w:rPr>
          <w:rFonts w:ascii="Times New Roman" w:eastAsia="Times New Roman" w:hAnsi="Times New Roman" w:cs="Times New Roman"/>
          <w:color w:val="333333"/>
          <w:lang w:eastAsia="fr-FR"/>
        </w:rPr>
        <w:t>Être locataire d’un logement social, locataire du secteur privé ou propriétaire de son logement sans plus d’emprunts à rembourser, change beaucoup de choses pour les plus modestes. Parmi les 25 % les moins riches, les ménages propriétaires consacrent 18,7 % de leurs revenus au logement. Lorsqu’ils sont locataires du secteur privé, ce taux est deux fois plus élevé : 40,7 %. Habiter un logement social permet d’abaisser la part des dépenses de logement dans leur budget à 27,3 % en moyenne. Compte tenu des prix de l’immobilier, ceux qui veulent accéder à la propriété, toujours parmi le quart le plus pauvre, doivent en moyenne consacrer presque la moitié de leur budget au logement : cela réduit énormément ce qui leur reste pour vivre et les place en situation très délicate en cas de difficulté (séparation ou chômage notamment). Les plus modestes </w:t>
      </w:r>
      <w:hyperlink r:id="rId9" w:history="1">
        <w:r w:rsidRPr="00521B49">
          <w:rPr>
            <w:rFonts w:ascii="Times New Roman" w:eastAsia="Times New Roman" w:hAnsi="Times New Roman" w:cs="Times New Roman"/>
            <w:color w:val="4070DB"/>
            <w:u w:val="single"/>
            <w:lang w:eastAsia="fr-FR"/>
          </w:rPr>
          <w:t>deviennent d’ailleurs de moins en moins souvent propriétaires</w:t>
        </w:r>
      </w:hyperlink>
      <w:r w:rsidRPr="00521B49">
        <w:rPr>
          <w:rFonts w:ascii="Times New Roman" w:eastAsia="Times New Roman" w:hAnsi="Times New Roman" w:cs="Times New Roman"/>
          <w:color w:val="333333"/>
          <w:lang w:eastAsia="fr-FR"/>
        </w:rPr>
        <w:t>.</w:t>
      </w:r>
    </w:p>
    <w:p w:rsidR="002E25AD" w:rsidRPr="00521B49" w:rsidRDefault="002E25AD" w:rsidP="002E25AD">
      <w:pPr>
        <w:shd w:val="clear" w:color="auto" w:fill="FFFFFF"/>
        <w:spacing w:before="180"/>
        <w:jc w:val="both"/>
        <w:rPr>
          <w:rFonts w:ascii="Times New Roman" w:eastAsia="Times New Roman" w:hAnsi="Times New Roman" w:cs="Times New Roman"/>
          <w:color w:val="333333"/>
          <w:lang w:eastAsia="fr-FR"/>
        </w:rPr>
      </w:pPr>
      <w:bookmarkStart w:id="0" w:name="_GoBack"/>
      <w:bookmarkEnd w:id="0"/>
    </w:p>
    <w:tbl>
      <w:tblPr>
        <w:tblW w:w="8670" w:type="dxa"/>
        <w:jc w:val="center"/>
        <w:tblCellMar>
          <w:top w:w="15" w:type="dxa"/>
          <w:left w:w="15" w:type="dxa"/>
          <w:bottom w:w="15" w:type="dxa"/>
          <w:right w:w="15" w:type="dxa"/>
        </w:tblCellMar>
        <w:tblLook w:val="04A0" w:firstRow="1" w:lastRow="0" w:firstColumn="1" w:lastColumn="0" w:noHBand="0" w:noVBand="1"/>
      </w:tblPr>
      <w:tblGrid>
        <w:gridCol w:w="1399"/>
        <w:gridCol w:w="1465"/>
        <w:gridCol w:w="1473"/>
        <w:gridCol w:w="1344"/>
        <w:gridCol w:w="1668"/>
        <w:gridCol w:w="1321"/>
      </w:tblGrid>
      <w:tr w:rsidR="002E25AD" w:rsidRPr="00521B49" w:rsidTr="00864EE5">
        <w:trPr>
          <w:tblHeader/>
          <w:jc w:val="center"/>
        </w:trPr>
        <w:tc>
          <w:tcPr>
            <w:tcW w:w="0" w:type="auto"/>
            <w:gridSpan w:val="6"/>
            <w:tcBorders>
              <w:top w:val="nil"/>
              <w:left w:val="nil"/>
              <w:bottom w:val="nil"/>
              <w:right w:val="nil"/>
            </w:tcBorders>
            <w:shd w:val="clear" w:color="auto" w:fill="4070DB"/>
            <w:tcMar>
              <w:top w:w="120" w:type="dxa"/>
              <w:left w:w="120" w:type="dxa"/>
              <w:bottom w:w="120" w:type="dxa"/>
              <w:right w:w="12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FFFFFF"/>
                <w:sz w:val="24"/>
                <w:szCs w:val="24"/>
                <w:lang w:eastAsia="fr-FR"/>
              </w:rPr>
            </w:pPr>
            <w:r w:rsidRPr="00521B49">
              <w:rPr>
                <w:rFonts w:ascii="Arial" w:eastAsia="Times New Roman" w:hAnsi="Arial" w:cs="Arial"/>
                <w:b/>
                <w:bCs/>
                <w:color w:val="FFFFFF"/>
                <w:sz w:val="24"/>
                <w:szCs w:val="24"/>
                <w:lang w:eastAsia="fr-FR"/>
              </w:rPr>
              <w:t>Poids des dépenses de logement selon le statut d'occupation et les revenus</w:t>
            </w:r>
            <w:r w:rsidRPr="00521B49">
              <w:rPr>
                <w:rFonts w:ascii="Arial" w:eastAsia="Times New Roman" w:hAnsi="Arial" w:cs="Arial"/>
                <w:b/>
                <w:bCs/>
                <w:color w:val="FFFFFF"/>
                <w:sz w:val="24"/>
                <w:szCs w:val="24"/>
                <w:lang w:eastAsia="fr-FR"/>
              </w:rPr>
              <w:br/>
              <w:t>Unité : %</w:t>
            </w:r>
          </w:p>
        </w:tc>
      </w:tr>
      <w:tr w:rsidR="002E25AD" w:rsidRPr="00521B49" w:rsidTr="00864EE5">
        <w:trPr>
          <w:tblHeader/>
          <w:jc w:val="center"/>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Locataires du secteur privé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Locataires du secteur social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Accédant à la propriété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Propriétaires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Arial" w:eastAsia="Times New Roman" w:hAnsi="Arial" w:cs="Arial"/>
                <w:b/>
                <w:bCs/>
                <w:color w:val="000000"/>
                <w:sz w:val="24"/>
                <w:szCs w:val="24"/>
                <w:lang w:eastAsia="fr-FR"/>
              </w:rPr>
            </w:pPr>
            <w:r w:rsidRPr="00521B49">
              <w:rPr>
                <w:rFonts w:ascii="Arial" w:eastAsia="Times New Roman" w:hAnsi="Arial" w:cs="Arial"/>
                <w:b/>
                <w:bCs/>
                <w:color w:val="000000"/>
                <w:sz w:val="24"/>
                <w:szCs w:val="24"/>
                <w:lang w:eastAsia="fr-FR"/>
              </w:rPr>
              <w:t>Ensemble </w:t>
            </w:r>
          </w:p>
        </w:tc>
      </w:tr>
      <w:tr w:rsidR="002E25AD" w:rsidRPr="00521B49" w:rsidTr="00864EE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25 % des ménages les plus pauvres</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40,7</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27,3</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48,0</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18,7</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31,3</w:t>
            </w:r>
          </w:p>
        </w:tc>
      </w:tr>
      <w:tr w:rsidR="002E25AD" w:rsidRPr="00521B49" w:rsidTr="00864EE5">
        <w:trPr>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Entre les 25 % et les 50 % les plus pauvres</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31,2</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24,9</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31,3</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12,9</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23,3</w:t>
            </w:r>
          </w:p>
        </w:tc>
      </w:tr>
      <w:tr w:rsidR="002E25AD" w:rsidRPr="00521B49" w:rsidTr="00864EE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Entre les 50 % les plus pauvres et les 75 % les plus riches</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26,4</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21,6</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27,2</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10,1</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19,4</w:t>
            </w:r>
          </w:p>
        </w:tc>
      </w:tr>
      <w:tr w:rsidR="002E25AD" w:rsidRPr="00521B49" w:rsidTr="00864EE5">
        <w:trPr>
          <w:jc w:val="center"/>
        </w:trPr>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Les 25 % les plus riches</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21,3</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17,7</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22,8</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6,7</w:t>
            </w:r>
          </w:p>
        </w:tc>
        <w:tc>
          <w:tcPr>
            <w:tcW w:w="0" w:type="auto"/>
            <w:tcBorders>
              <w:top w:val="nil"/>
              <w:left w:val="nil"/>
              <w:bottom w:val="nil"/>
              <w:right w:val="nil"/>
            </w:tcBorders>
            <w:shd w:val="clear" w:color="auto" w:fill="F4F4F4"/>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13,1</w:t>
            </w:r>
          </w:p>
        </w:tc>
      </w:tr>
      <w:tr w:rsidR="002E25AD" w:rsidRPr="00521B49" w:rsidTr="00864EE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Ensemble</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28,4</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24,1</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26,6</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8,9</w:t>
            </w:r>
          </w:p>
        </w:tc>
        <w:tc>
          <w:tcPr>
            <w:tcW w:w="0" w:type="auto"/>
            <w:tcBorders>
              <w:top w:val="nil"/>
              <w:left w:val="nil"/>
              <w:bottom w:val="nil"/>
              <w:right w:val="nil"/>
            </w:tcBorders>
            <w:tcMar>
              <w:top w:w="60" w:type="dxa"/>
              <w:left w:w="60" w:type="dxa"/>
              <w:bottom w:w="60" w:type="dxa"/>
              <w:right w:w="60" w:type="dxa"/>
            </w:tcMar>
            <w:vAlign w:val="center"/>
            <w:hideMark/>
          </w:tcPr>
          <w:p w:rsidR="002E25AD" w:rsidRPr="00521B49" w:rsidRDefault="002E25AD" w:rsidP="00864EE5">
            <w:pPr>
              <w:spacing w:before="180" w:after="0" w:line="240" w:lineRule="auto"/>
              <w:jc w:val="center"/>
              <w:rPr>
                <w:rFonts w:ascii="Times New Roman" w:eastAsia="Times New Roman" w:hAnsi="Times New Roman" w:cs="Times New Roman"/>
                <w:color w:val="000000"/>
                <w:sz w:val="24"/>
                <w:szCs w:val="24"/>
                <w:lang w:eastAsia="fr-FR"/>
              </w:rPr>
            </w:pPr>
            <w:r w:rsidRPr="00521B49">
              <w:rPr>
                <w:rFonts w:ascii="Times New Roman" w:eastAsia="Times New Roman" w:hAnsi="Times New Roman" w:cs="Times New Roman"/>
                <w:color w:val="000000"/>
                <w:sz w:val="24"/>
                <w:szCs w:val="24"/>
                <w:lang w:eastAsia="fr-FR"/>
              </w:rPr>
              <w:t>18,3</w:t>
            </w:r>
          </w:p>
        </w:tc>
      </w:tr>
    </w:tbl>
    <w:p w:rsidR="002E25AD" w:rsidRPr="00521B49" w:rsidRDefault="002E25AD" w:rsidP="002E25AD">
      <w:pPr>
        <w:shd w:val="clear" w:color="auto" w:fill="FFFFFF"/>
        <w:spacing w:line="240" w:lineRule="auto"/>
        <w:jc w:val="both"/>
        <w:rPr>
          <w:rFonts w:ascii="Times New Roman" w:eastAsia="Times New Roman" w:hAnsi="Times New Roman" w:cs="Times New Roman"/>
          <w:color w:val="333333"/>
          <w:lang w:eastAsia="fr-FR"/>
        </w:rPr>
      </w:pPr>
      <w:r w:rsidRPr="00521B49">
        <w:rPr>
          <w:rFonts w:ascii="Times New Roman" w:eastAsia="Times New Roman" w:hAnsi="Times New Roman" w:cs="Times New Roman"/>
          <w:color w:val="333333"/>
          <w:lang w:eastAsia="fr-FR"/>
        </w:rPr>
        <w:br/>
        <w:t>Source : Insee, enquête Logement - Données 2013 - © Observatoire des inégalités</w:t>
      </w:r>
    </w:p>
    <w:p w:rsidR="002E25AD" w:rsidRPr="00521B49" w:rsidRDefault="002E25AD" w:rsidP="002E25AD">
      <w:pPr>
        <w:shd w:val="clear" w:color="auto" w:fill="FFFFFF"/>
        <w:spacing w:line="240" w:lineRule="auto"/>
        <w:jc w:val="both"/>
        <w:rPr>
          <w:rFonts w:ascii="Times New Roman" w:eastAsia="Times New Roman" w:hAnsi="Times New Roman" w:cs="Times New Roman"/>
          <w:color w:val="333333"/>
          <w:lang w:eastAsia="fr-FR"/>
        </w:rPr>
      </w:pPr>
      <w:r w:rsidRPr="00521B49">
        <w:rPr>
          <w:rFonts w:ascii="Times New Roman" w:eastAsia="Times New Roman" w:hAnsi="Times New Roman" w:cs="Times New Roman"/>
          <w:color w:val="333333"/>
          <w:spacing w:val="15"/>
          <w:lang w:eastAsia="fr-FR"/>
        </w:rPr>
        <w:t xml:space="preserve"> [</w:t>
      </w:r>
      <w:hyperlink r:id="rId10" w:anchor="nh1" w:tooltip="Notes 1" w:history="1">
        <w:r w:rsidRPr="00521B49">
          <w:rPr>
            <w:rFonts w:ascii="Times New Roman" w:eastAsia="Times New Roman" w:hAnsi="Times New Roman" w:cs="Times New Roman"/>
            <w:color w:val="4070DB"/>
            <w:spacing w:val="15"/>
            <w:u w:val="single"/>
            <w:lang w:eastAsia="fr-FR"/>
          </w:rPr>
          <w:t>1</w:t>
        </w:r>
      </w:hyperlink>
      <w:r w:rsidRPr="00521B49">
        <w:rPr>
          <w:rFonts w:ascii="Times New Roman" w:eastAsia="Times New Roman" w:hAnsi="Times New Roman" w:cs="Times New Roman"/>
          <w:color w:val="333333"/>
          <w:spacing w:val="15"/>
          <w:lang w:eastAsia="fr-FR"/>
        </w:rPr>
        <w:t>] </w:t>
      </w:r>
      <w:r w:rsidRPr="00521B49">
        <w:rPr>
          <w:rFonts w:ascii="Times New Roman" w:eastAsia="Times New Roman" w:hAnsi="Times New Roman" w:cs="Times New Roman"/>
          <w:color w:val="333333"/>
          <w:lang w:eastAsia="fr-FR"/>
        </w:rPr>
        <w:t>Ce dont le ménage dispose quand il a payé ses charges fixes.</w:t>
      </w:r>
    </w:p>
    <w:p w:rsidR="00B229F0" w:rsidRDefault="002E25AD"/>
    <w:sectPr w:rsidR="00B229F0" w:rsidSect="002E25AD">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AD"/>
    <w:rsid w:val="002E25AD"/>
    <w:rsid w:val="00D95DBD"/>
    <w:rsid w:val="00EF3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alites.fr/Les-menages-modestes-ecrases-par-le-poids-des-depenses-de-logement?id_theme=19" TargetMode="External"/><Relationship Id="rId3" Type="http://schemas.openxmlformats.org/officeDocument/2006/relationships/settings" Target="settings.xml"/><Relationship Id="rId7" Type="http://schemas.openxmlformats.org/officeDocument/2006/relationships/hyperlink" Target="https://www.inegalites.fr/Les-menages-modestes-ecrases-par-le-poids-des-depenses-de-logement?id_theme=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egalites.fr/Les-menages-modestes-ecrases-par-le-poids-des-depenses-de-logement?id_theme=19" TargetMode="External"/><Relationship Id="rId11" Type="http://schemas.openxmlformats.org/officeDocument/2006/relationships/fontTable" Target="fontTable.xml"/><Relationship Id="rId5" Type="http://schemas.openxmlformats.org/officeDocument/2006/relationships/hyperlink" Target="https://www.inegalites.fr/Les-menages-modestes-ecrases-par-le-poids-des-depenses-de-logement?id_theme=19" TargetMode="External"/><Relationship Id="rId10" Type="http://schemas.openxmlformats.org/officeDocument/2006/relationships/hyperlink" Target="https://www.inegalites.fr/Les-menages-modestes-ecrases-par-le-poids-des-depenses-de-logement?id_theme=19" TargetMode="External"/><Relationship Id="rId4" Type="http://schemas.openxmlformats.org/officeDocument/2006/relationships/webSettings" Target="webSettings.xml"/><Relationship Id="rId9" Type="http://schemas.openxmlformats.org/officeDocument/2006/relationships/hyperlink" Target="https://www.inegalites.fr/Les-plus-modestes-deviennent-de-moins-en-moins-souvent-proprietaires?id_theme=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2018-09-19T21:41:00Z</dcterms:created>
  <dcterms:modified xsi:type="dcterms:W3CDTF">2018-09-19T21:42:00Z</dcterms:modified>
</cp:coreProperties>
</file>