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67B6" w14:textId="7934015B" w:rsidR="001E3BFE" w:rsidRPr="006D644A" w:rsidRDefault="001E3BFE" w:rsidP="00893C2F">
      <w:pPr>
        <w:widowControl w:val="0"/>
        <w:pBdr>
          <w:top w:val="single" w:sz="4" w:space="1" w:color="auto"/>
          <w:left w:val="single" w:sz="4" w:space="1" w:color="auto"/>
          <w:bottom w:val="single" w:sz="4" w:space="1" w:color="auto"/>
          <w:right w:val="single" w:sz="4" w:space="1" w:color="auto"/>
          <w:between w:val="nil"/>
        </w:pBdr>
        <w:spacing w:after="120" w:line="381" w:lineRule="auto"/>
        <w:ind w:left="2" w:right="831" w:firstLine="18"/>
        <w:jc w:val="center"/>
        <w:rPr>
          <w:rFonts w:asciiTheme="majorHAnsi" w:hAnsiTheme="majorHAnsi" w:cstheme="majorHAnsi"/>
          <w:b/>
          <w:bCs/>
          <w:color w:val="000000"/>
          <w:sz w:val="31"/>
          <w:szCs w:val="31"/>
        </w:rPr>
      </w:pPr>
      <w:r w:rsidRPr="006D644A">
        <w:rPr>
          <w:rFonts w:asciiTheme="majorHAnsi" w:hAnsiTheme="majorHAnsi" w:cstheme="majorHAnsi"/>
          <w:b/>
          <w:bCs/>
          <w:color w:val="000000"/>
          <w:sz w:val="31"/>
          <w:szCs w:val="31"/>
        </w:rPr>
        <w:t>CHAPITRE 9 LE DROIT NEGOCIE ET LE ROLE DES PARTENAIRES SOCIAUX</w:t>
      </w:r>
    </w:p>
    <w:p w14:paraId="39CF2DA2" w14:textId="77777777" w:rsidR="00893C2F" w:rsidRDefault="00893C2F" w:rsidP="00893C2F">
      <w:pPr>
        <w:widowControl w:val="0"/>
        <w:pBdr>
          <w:top w:val="nil"/>
          <w:left w:val="nil"/>
          <w:bottom w:val="nil"/>
          <w:right w:val="nil"/>
          <w:between w:val="nil"/>
        </w:pBdr>
        <w:spacing w:after="120" w:line="381" w:lineRule="auto"/>
        <w:ind w:left="2" w:right="831" w:firstLine="18"/>
        <w:rPr>
          <w:rFonts w:asciiTheme="majorHAnsi" w:hAnsiTheme="majorHAnsi" w:cstheme="majorHAnsi"/>
          <w:b/>
          <w:bCs/>
          <w:color w:val="000000"/>
          <w:sz w:val="28"/>
          <w:szCs w:val="28"/>
        </w:rPr>
      </w:pPr>
    </w:p>
    <w:p w14:paraId="5C8C86EA" w14:textId="4AB917B4" w:rsidR="00EC7416" w:rsidRPr="006D644A" w:rsidRDefault="006D644A" w:rsidP="00893C2F">
      <w:pPr>
        <w:widowControl w:val="0"/>
        <w:pBdr>
          <w:top w:val="nil"/>
          <w:left w:val="nil"/>
          <w:bottom w:val="nil"/>
          <w:right w:val="nil"/>
          <w:between w:val="nil"/>
        </w:pBdr>
        <w:spacing w:after="120" w:line="381" w:lineRule="auto"/>
        <w:ind w:left="2" w:right="831" w:firstLine="18"/>
        <w:rPr>
          <w:rFonts w:asciiTheme="majorHAnsi" w:hAnsiTheme="majorHAnsi" w:cstheme="majorHAnsi"/>
          <w:b/>
          <w:bCs/>
          <w:color w:val="000000"/>
          <w:sz w:val="28"/>
          <w:szCs w:val="28"/>
        </w:rPr>
      </w:pPr>
      <w:r w:rsidRPr="006D644A">
        <w:rPr>
          <w:rFonts w:asciiTheme="majorHAnsi" w:hAnsiTheme="majorHAnsi" w:cstheme="majorHAnsi"/>
          <w:b/>
          <w:bCs/>
          <w:color w:val="000000"/>
          <w:sz w:val="28"/>
          <w:szCs w:val="28"/>
        </w:rPr>
        <w:t xml:space="preserve">I. LES DIFFERENTES SOURCES DU DROIT DU TRAVAIL </w:t>
      </w:r>
    </w:p>
    <w:p w14:paraId="0CB565B0" w14:textId="3FDCCAA7" w:rsidR="00EC7416" w:rsidRPr="006D644A" w:rsidRDefault="00EC7416" w:rsidP="00893C2F">
      <w:pPr>
        <w:autoSpaceDE w:val="0"/>
        <w:autoSpaceDN w:val="0"/>
        <w:adjustRightInd w:val="0"/>
        <w:spacing w:line="240" w:lineRule="auto"/>
        <w:ind w:right="831"/>
        <w:rPr>
          <w:rFonts w:asciiTheme="majorHAnsi" w:hAnsiTheme="majorHAnsi" w:cstheme="majorHAnsi"/>
          <w:color w:val="000000"/>
          <w:sz w:val="24"/>
          <w:szCs w:val="24"/>
        </w:rPr>
      </w:pPr>
      <w:r w:rsidRPr="006D644A">
        <w:rPr>
          <w:rFonts w:asciiTheme="majorHAnsi" w:hAnsiTheme="majorHAnsi" w:cstheme="majorHAnsi"/>
          <w:b/>
          <w:bCs/>
          <w:color w:val="000000"/>
          <w:sz w:val="24"/>
          <w:szCs w:val="24"/>
        </w:rPr>
        <w:t xml:space="preserve">Les </w:t>
      </w:r>
      <w:r w:rsidR="001E3BFE" w:rsidRPr="006D644A">
        <w:rPr>
          <w:rFonts w:asciiTheme="majorHAnsi" w:hAnsiTheme="majorHAnsi" w:cstheme="majorHAnsi"/>
          <w:b/>
          <w:bCs/>
          <w:color w:val="000000"/>
          <w:sz w:val="24"/>
          <w:szCs w:val="24"/>
        </w:rPr>
        <w:t>traités</w:t>
      </w:r>
      <w:r w:rsidRPr="006D644A">
        <w:rPr>
          <w:rFonts w:asciiTheme="majorHAnsi" w:hAnsiTheme="majorHAnsi" w:cstheme="majorHAnsi"/>
          <w:b/>
          <w:bCs/>
          <w:color w:val="000000"/>
          <w:sz w:val="24"/>
          <w:szCs w:val="24"/>
        </w:rPr>
        <w:t xml:space="preserve"> i</w:t>
      </w:r>
      <w:r w:rsidR="001E3BFE" w:rsidRPr="006D644A">
        <w:rPr>
          <w:rFonts w:asciiTheme="majorHAnsi" w:hAnsiTheme="majorHAnsi" w:cstheme="majorHAnsi"/>
          <w:b/>
          <w:bCs/>
          <w:color w:val="000000"/>
          <w:sz w:val="24"/>
          <w:szCs w:val="24"/>
        </w:rPr>
        <w:t>nternationaux</w:t>
      </w:r>
      <w:r w:rsidR="001E3BFE" w:rsidRPr="006D644A">
        <w:rPr>
          <w:rFonts w:asciiTheme="majorHAnsi" w:hAnsiTheme="majorHAnsi" w:cstheme="majorHAnsi"/>
          <w:color w:val="000000"/>
          <w:sz w:val="24"/>
          <w:szCs w:val="24"/>
        </w:rPr>
        <w:t> :</w:t>
      </w:r>
      <w:r w:rsidR="001E3BFE" w:rsidRPr="006D644A">
        <w:rPr>
          <w:rFonts w:asciiTheme="majorHAnsi" w:hAnsiTheme="majorHAnsi" w:cstheme="majorHAnsi"/>
          <w:sz w:val="28"/>
          <w:szCs w:val="28"/>
        </w:rPr>
        <w:t xml:space="preserve"> </w:t>
      </w:r>
      <w:r w:rsidR="001E3BFE" w:rsidRPr="006D644A">
        <w:rPr>
          <w:rFonts w:asciiTheme="majorHAnsi" w:hAnsiTheme="majorHAnsi" w:cstheme="majorHAnsi"/>
          <w:color w:val="000000"/>
          <w:sz w:val="24"/>
          <w:szCs w:val="24"/>
        </w:rPr>
        <w:t>élimination de la discrimination en matière d’emploi, de toute forme de travail forcé, abolition du travail des enfants</w:t>
      </w:r>
    </w:p>
    <w:p w14:paraId="717FD3D4" w14:textId="176C29D8" w:rsidR="001E3BFE" w:rsidRPr="006D644A" w:rsidRDefault="001E3BFE" w:rsidP="00893C2F">
      <w:pPr>
        <w:widowControl w:val="0"/>
        <w:pBdr>
          <w:top w:val="nil"/>
          <w:left w:val="nil"/>
          <w:bottom w:val="nil"/>
          <w:right w:val="nil"/>
          <w:between w:val="nil"/>
        </w:pBdr>
        <w:spacing w:after="120" w:line="240" w:lineRule="auto"/>
        <w:ind w:left="2" w:right="831" w:firstLine="18"/>
        <w:rPr>
          <w:rFonts w:asciiTheme="majorHAnsi" w:hAnsiTheme="majorHAnsi" w:cstheme="majorHAnsi"/>
          <w:color w:val="000000"/>
          <w:sz w:val="24"/>
          <w:szCs w:val="24"/>
        </w:rPr>
      </w:pPr>
      <w:r w:rsidRPr="006D644A">
        <w:rPr>
          <w:rFonts w:asciiTheme="majorHAnsi" w:hAnsiTheme="majorHAnsi" w:cstheme="majorHAnsi"/>
          <w:b/>
          <w:bCs/>
          <w:color w:val="000000"/>
          <w:sz w:val="24"/>
          <w:szCs w:val="24"/>
        </w:rPr>
        <w:t>Le droit européen</w:t>
      </w:r>
      <w:r w:rsidRPr="006D644A">
        <w:rPr>
          <w:rFonts w:asciiTheme="majorHAnsi" w:hAnsiTheme="majorHAnsi" w:cstheme="majorHAnsi"/>
          <w:color w:val="000000"/>
          <w:sz w:val="24"/>
          <w:szCs w:val="24"/>
        </w:rPr>
        <w:t> :</w:t>
      </w:r>
      <w:r w:rsidR="008F6A8E" w:rsidRPr="008F6A8E">
        <w:rPr>
          <w:rFonts w:asciiTheme="majorHAnsi" w:hAnsiTheme="majorHAnsi" w:cstheme="majorHAnsi"/>
          <w:color w:val="000000"/>
          <w:sz w:val="24"/>
          <w:szCs w:val="24"/>
        </w:rPr>
        <w:t xml:space="preserve"> des normes minimales applicables dans toute l’UE doivent être respectées Les États membres sont libres d'adopter des niveaux de protection plus élevés. Ainsi, alors que la directive sur le temps de travail donne droit à 4 semaines de congé payé annuel, de nombreux pays ont choisi d'accorder davantage aux travailleurs.</w:t>
      </w:r>
    </w:p>
    <w:p w14:paraId="00000015" w14:textId="14573B04" w:rsidR="005048E4" w:rsidRPr="006D644A" w:rsidRDefault="00893C2F" w:rsidP="00893C2F">
      <w:pPr>
        <w:widowControl w:val="0"/>
        <w:pBdr>
          <w:top w:val="nil"/>
          <w:left w:val="nil"/>
          <w:bottom w:val="nil"/>
          <w:right w:val="nil"/>
          <w:between w:val="nil"/>
        </w:pBdr>
        <w:spacing w:after="120" w:line="240" w:lineRule="auto"/>
        <w:ind w:left="2" w:right="831" w:firstLine="18"/>
        <w:rPr>
          <w:rFonts w:asciiTheme="majorHAnsi" w:hAnsiTheme="majorHAnsi" w:cstheme="majorHAnsi"/>
          <w:color w:val="000000"/>
          <w:sz w:val="24"/>
          <w:szCs w:val="24"/>
        </w:rPr>
      </w:pPr>
      <w:r w:rsidRPr="006D644A">
        <w:rPr>
          <w:rFonts w:asciiTheme="majorHAnsi" w:hAnsiTheme="majorHAnsi" w:cstheme="majorHAnsi"/>
          <w:b/>
          <w:bCs/>
          <w:color w:val="000000"/>
          <w:sz w:val="24"/>
          <w:szCs w:val="24"/>
        </w:rPr>
        <w:t>La Constitution</w:t>
      </w:r>
      <w:r w:rsidR="00EC7416" w:rsidRPr="006D644A">
        <w:rPr>
          <w:rFonts w:asciiTheme="majorHAnsi" w:hAnsiTheme="majorHAnsi" w:cstheme="majorHAnsi"/>
          <w:color w:val="000000"/>
          <w:sz w:val="24"/>
          <w:szCs w:val="24"/>
        </w:rPr>
        <w:t> :</w:t>
      </w:r>
      <w:r w:rsidRPr="006D644A">
        <w:rPr>
          <w:rFonts w:asciiTheme="majorHAnsi" w:hAnsiTheme="majorHAnsi" w:cstheme="majorHAnsi"/>
          <w:color w:val="000000"/>
          <w:sz w:val="24"/>
          <w:szCs w:val="24"/>
        </w:rPr>
        <w:t xml:space="preserve"> </w:t>
      </w:r>
      <w:r w:rsidR="00EC7416" w:rsidRPr="006D644A">
        <w:rPr>
          <w:rFonts w:asciiTheme="majorHAnsi" w:hAnsiTheme="majorHAnsi" w:cstheme="majorHAnsi"/>
          <w:color w:val="000000"/>
          <w:sz w:val="24"/>
          <w:szCs w:val="24"/>
        </w:rPr>
        <w:t>é</w:t>
      </w:r>
      <w:r w:rsidRPr="006D644A">
        <w:rPr>
          <w:rFonts w:asciiTheme="majorHAnsi" w:hAnsiTheme="majorHAnsi" w:cstheme="majorHAnsi"/>
          <w:color w:val="000000"/>
          <w:sz w:val="24"/>
          <w:szCs w:val="24"/>
        </w:rPr>
        <w:t>galité professionnelle</w:t>
      </w:r>
      <w:r w:rsidR="00EC7416" w:rsidRPr="006D644A">
        <w:rPr>
          <w:rFonts w:asciiTheme="majorHAnsi" w:hAnsiTheme="majorHAnsi" w:cstheme="majorHAnsi"/>
          <w:color w:val="000000"/>
          <w:sz w:val="24"/>
          <w:szCs w:val="24"/>
        </w:rPr>
        <w:t xml:space="preserve">, </w:t>
      </w:r>
      <w:r w:rsidRPr="006D644A">
        <w:rPr>
          <w:rFonts w:asciiTheme="majorHAnsi" w:hAnsiTheme="majorHAnsi" w:cstheme="majorHAnsi"/>
          <w:color w:val="000000"/>
          <w:sz w:val="24"/>
          <w:szCs w:val="24"/>
        </w:rPr>
        <w:t>liberté syndicale</w:t>
      </w:r>
      <w:r w:rsidR="00EC7416" w:rsidRPr="006D644A">
        <w:rPr>
          <w:rFonts w:asciiTheme="majorHAnsi" w:hAnsiTheme="majorHAnsi" w:cstheme="majorHAnsi"/>
          <w:color w:val="000000"/>
          <w:sz w:val="24"/>
          <w:szCs w:val="24"/>
        </w:rPr>
        <w:t>, interdiction des discriminations</w:t>
      </w:r>
    </w:p>
    <w:p w14:paraId="00000016" w14:textId="25243649" w:rsidR="005048E4" w:rsidRPr="006D644A" w:rsidRDefault="00893C2F" w:rsidP="00893C2F">
      <w:pPr>
        <w:widowControl w:val="0"/>
        <w:pBdr>
          <w:top w:val="nil"/>
          <w:left w:val="nil"/>
          <w:bottom w:val="nil"/>
          <w:right w:val="nil"/>
          <w:between w:val="nil"/>
        </w:pBdr>
        <w:spacing w:after="120" w:line="227" w:lineRule="auto"/>
        <w:ind w:left="2" w:right="831" w:firstLine="18"/>
        <w:rPr>
          <w:rFonts w:asciiTheme="majorHAnsi" w:hAnsiTheme="majorHAnsi" w:cstheme="majorHAnsi"/>
          <w:color w:val="000000"/>
          <w:sz w:val="24"/>
          <w:szCs w:val="24"/>
        </w:rPr>
      </w:pPr>
      <w:r w:rsidRPr="006D644A">
        <w:rPr>
          <w:rFonts w:asciiTheme="majorHAnsi" w:hAnsiTheme="majorHAnsi" w:cstheme="majorHAnsi"/>
          <w:b/>
          <w:bCs/>
          <w:color w:val="000000"/>
          <w:sz w:val="24"/>
          <w:szCs w:val="24"/>
        </w:rPr>
        <w:t>Les lois</w:t>
      </w:r>
      <w:r w:rsidR="00EC7416" w:rsidRPr="006D644A">
        <w:rPr>
          <w:rFonts w:asciiTheme="majorHAnsi" w:hAnsiTheme="majorHAnsi" w:cstheme="majorHAnsi"/>
          <w:color w:val="000000"/>
          <w:sz w:val="24"/>
          <w:szCs w:val="24"/>
        </w:rPr>
        <w:t xml:space="preserve"> : </w:t>
      </w:r>
      <w:r w:rsidRPr="006D644A">
        <w:rPr>
          <w:rFonts w:asciiTheme="majorHAnsi" w:hAnsiTheme="majorHAnsi" w:cstheme="majorHAnsi"/>
          <w:color w:val="000000"/>
          <w:sz w:val="24"/>
          <w:szCs w:val="24"/>
        </w:rPr>
        <w:t xml:space="preserve">durée du travail, les droits au repos, à un salaire minimum, aux institutions </w:t>
      </w:r>
    </w:p>
    <w:p w14:paraId="00000018" w14:textId="4EE178D0" w:rsidR="005048E4" w:rsidRPr="006D644A" w:rsidRDefault="00893C2F" w:rsidP="00893C2F">
      <w:pPr>
        <w:widowControl w:val="0"/>
        <w:pBdr>
          <w:top w:val="nil"/>
          <w:left w:val="nil"/>
          <w:bottom w:val="nil"/>
          <w:right w:val="nil"/>
          <w:between w:val="nil"/>
        </w:pBdr>
        <w:spacing w:after="120" w:line="230" w:lineRule="auto"/>
        <w:ind w:left="2" w:right="831" w:firstLine="18"/>
        <w:rPr>
          <w:rFonts w:asciiTheme="majorHAnsi" w:hAnsiTheme="majorHAnsi" w:cstheme="majorHAnsi"/>
          <w:color w:val="000000"/>
          <w:sz w:val="24"/>
          <w:szCs w:val="24"/>
        </w:rPr>
      </w:pPr>
      <w:r w:rsidRPr="006D644A">
        <w:rPr>
          <w:rFonts w:asciiTheme="majorHAnsi" w:hAnsiTheme="majorHAnsi" w:cstheme="majorHAnsi"/>
          <w:b/>
          <w:bCs/>
          <w:color w:val="000000"/>
          <w:sz w:val="24"/>
          <w:szCs w:val="24"/>
        </w:rPr>
        <w:t>Les règlements</w:t>
      </w:r>
      <w:r w:rsidRPr="006D644A">
        <w:rPr>
          <w:rFonts w:asciiTheme="majorHAnsi" w:hAnsiTheme="majorHAnsi" w:cstheme="majorHAnsi"/>
          <w:color w:val="000000"/>
          <w:sz w:val="24"/>
          <w:szCs w:val="24"/>
        </w:rPr>
        <w:t xml:space="preserve"> adoptés par le gouvernement</w:t>
      </w:r>
      <w:r w:rsidR="001E3BFE" w:rsidRPr="006D644A">
        <w:rPr>
          <w:rFonts w:asciiTheme="majorHAnsi" w:hAnsiTheme="majorHAnsi" w:cstheme="majorHAnsi"/>
          <w:color w:val="000000"/>
          <w:sz w:val="24"/>
          <w:szCs w:val="24"/>
        </w:rPr>
        <w:t> : l’augmentation du SMIC</w:t>
      </w:r>
    </w:p>
    <w:p w14:paraId="7B3D5B94" w14:textId="77777777" w:rsidR="00D040E9" w:rsidRPr="006D644A" w:rsidRDefault="00D040E9" w:rsidP="00D040E9">
      <w:pPr>
        <w:widowControl w:val="0"/>
        <w:pBdr>
          <w:top w:val="nil"/>
          <w:left w:val="nil"/>
          <w:bottom w:val="nil"/>
          <w:right w:val="nil"/>
          <w:between w:val="nil"/>
        </w:pBdr>
        <w:spacing w:after="120" w:line="229" w:lineRule="auto"/>
        <w:ind w:left="2" w:right="831" w:firstLine="18"/>
        <w:rPr>
          <w:rFonts w:asciiTheme="majorHAnsi" w:hAnsiTheme="majorHAnsi" w:cstheme="majorHAnsi"/>
          <w:color w:val="000000"/>
          <w:sz w:val="24"/>
          <w:szCs w:val="24"/>
        </w:rPr>
      </w:pPr>
      <w:r w:rsidRPr="006D644A">
        <w:rPr>
          <w:rFonts w:asciiTheme="majorHAnsi" w:hAnsiTheme="majorHAnsi" w:cstheme="majorHAnsi"/>
          <w:b/>
          <w:bCs/>
          <w:color w:val="000000"/>
          <w:sz w:val="24"/>
          <w:szCs w:val="24"/>
        </w:rPr>
        <w:t>Le droit négocié</w:t>
      </w:r>
      <w:r w:rsidRPr="006D644A">
        <w:rPr>
          <w:rFonts w:asciiTheme="majorHAnsi" w:hAnsiTheme="majorHAnsi" w:cstheme="majorHAnsi"/>
          <w:color w:val="000000"/>
          <w:sz w:val="24"/>
          <w:szCs w:val="24"/>
        </w:rPr>
        <w:t xml:space="preserve"> : la négociation collective permet de donner aux acteurs de la vie sociale les instruments juridiques leur permettant de construire le cadre des relations de travail : cela </w:t>
      </w:r>
    </w:p>
    <w:p w14:paraId="52794421" w14:textId="0DEBB51C" w:rsidR="00D040E9" w:rsidRPr="006D644A" w:rsidRDefault="00D040E9" w:rsidP="00D040E9">
      <w:pPr>
        <w:widowControl w:val="0"/>
        <w:pBdr>
          <w:top w:val="nil"/>
          <w:left w:val="nil"/>
          <w:bottom w:val="nil"/>
          <w:right w:val="nil"/>
          <w:between w:val="nil"/>
        </w:pBdr>
        <w:spacing w:after="120" w:line="240" w:lineRule="auto"/>
        <w:ind w:left="2" w:right="831" w:firstLine="18"/>
        <w:rPr>
          <w:rFonts w:asciiTheme="majorHAnsi" w:hAnsiTheme="majorHAnsi" w:cstheme="majorHAnsi"/>
          <w:color w:val="000000"/>
          <w:sz w:val="24"/>
          <w:szCs w:val="24"/>
        </w:rPr>
      </w:pPr>
      <w:r w:rsidRPr="006D644A">
        <w:rPr>
          <w:rFonts w:asciiTheme="majorHAnsi" w:hAnsiTheme="majorHAnsi" w:cstheme="majorHAnsi"/>
          <w:b/>
          <w:bCs/>
          <w:color w:val="000000"/>
          <w:sz w:val="24"/>
          <w:szCs w:val="24"/>
        </w:rPr>
        <w:t>La jurisprudence</w:t>
      </w:r>
      <w:r w:rsidRPr="006D644A">
        <w:rPr>
          <w:rFonts w:asciiTheme="majorHAnsi" w:hAnsiTheme="majorHAnsi" w:cstheme="majorHAnsi"/>
          <w:color w:val="000000"/>
          <w:sz w:val="24"/>
          <w:szCs w:val="24"/>
        </w:rPr>
        <w:t xml:space="preserve"> : </w:t>
      </w:r>
      <w:r>
        <w:rPr>
          <w:rFonts w:asciiTheme="majorHAnsi" w:hAnsiTheme="majorHAnsi" w:cstheme="majorHAnsi"/>
          <w:color w:val="000000"/>
          <w:sz w:val="24"/>
          <w:szCs w:val="24"/>
        </w:rPr>
        <w:t>ensemble des décisions de justice</w:t>
      </w:r>
    </w:p>
    <w:p w14:paraId="5E60DC6B" w14:textId="3204E999" w:rsidR="006D644A" w:rsidRPr="006D644A" w:rsidRDefault="00893C2F" w:rsidP="00893C2F">
      <w:pPr>
        <w:widowControl w:val="0"/>
        <w:pBdr>
          <w:top w:val="nil"/>
          <w:left w:val="nil"/>
          <w:bottom w:val="nil"/>
          <w:right w:val="nil"/>
          <w:between w:val="nil"/>
        </w:pBdr>
        <w:spacing w:after="120" w:line="229" w:lineRule="auto"/>
        <w:ind w:left="2" w:right="831" w:firstLine="18"/>
        <w:rPr>
          <w:rFonts w:asciiTheme="majorHAnsi" w:hAnsiTheme="majorHAnsi" w:cstheme="majorHAnsi"/>
          <w:color w:val="000000"/>
          <w:sz w:val="24"/>
          <w:szCs w:val="24"/>
        </w:rPr>
      </w:pPr>
      <w:r w:rsidRPr="006D644A">
        <w:rPr>
          <w:rFonts w:asciiTheme="majorHAnsi" w:hAnsiTheme="majorHAnsi" w:cstheme="majorHAnsi"/>
          <w:b/>
          <w:bCs/>
          <w:color w:val="000000"/>
          <w:sz w:val="24"/>
          <w:szCs w:val="24"/>
        </w:rPr>
        <w:t>Les usages professionnels</w:t>
      </w:r>
      <w:r w:rsidRPr="006D644A">
        <w:rPr>
          <w:rFonts w:asciiTheme="majorHAnsi" w:hAnsiTheme="majorHAnsi" w:cstheme="majorHAnsi"/>
          <w:color w:val="000000"/>
          <w:sz w:val="24"/>
          <w:szCs w:val="24"/>
        </w:rPr>
        <w:t xml:space="preserve"> : </w:t>
      </w:r>
      <w:r w:rsidR="006D644A" w:rsidRPr="006D644A">
        <w:rPr>
          <w:rFonts w:asciiTheme="majorHAnsi" w:hAnsiTheme="majorHAnsi" w:cstheme="majorHAnsi"/>
          <w:color w:val="000000"/>
          <w:sz w:val="24"/>
          <w:szCs w:val="24"/>
        </w:rPr>
        <w:t>avantage accordé librement et de manière répétée par un employeur à ses salariés, sans que le code du travail, une convention ou un accord collectif ne l'impose : une prime de fin d'année accordée à tout le personnel tous les ans depuis 5 ans est un usage d'entreprise.</w:t>
      </w:r>
    </w:p>
    <w:p w14:paraId="0000001D" w14:textId="2A2FFFF8" w:rsidR="005048E4" w:rsidRPr="006D644A" w:rsidRDefault="00893C2F" w:rsidP="00893C2F">
      <w:pPr>
        <w:widowControl w:val="0"/>
        <w:pBdr>
          <w:top w:val="nil"/>
          <w:left w:val="nil"/>
          <w:bottom w:val="nil"/>
          <w:right w:val="nil"/>
          <w:between w:val="nil"/>
        </w:pBdr>
        <w:spacing w:after="120" w:line="229" w:lineRule="auto"/>
        <w:ind w:left="2" w:right="831" w:firstLine="18"/>
        <w:rPr>
          <w:rFonts w:asciiTheme="majorHAnsi" w:hAnsiTheme="majorHAnsi" w:cstheme="majorHAnsi"/>
          <w:color w:val="000000"/>
          <w:sz w:val="24"/>
          <w:szCs w:val="24"/>
        </w:rPr>
      </w:pPr>
      <w:r w:rsidRPr="006D644A">
        <w:rPr>
          <w:rFonts w:asciiTheme="majorHAnsi" w:hAnsiTheme="majorHAnsi" w:cstheme="majorHAnsi"/>
          <w:b/>
          <w:bCs/>
          <w:color w:val="000000"/>
          <w:sz w:val="24"/>
          <w:szCs w:val="24"/>
        </w:rPr>
        <w:t>Le</w:t>
      </w:r>
      <w:r w:rsidR="006D644A" w:rsidRPr="006D644A">
        <w:rPr>
          <w:rFonts w:asciiTheme="majorHAnsi" w:hAnsiTheme="majorHAnsi" w:cstheme="majorHAnsi"/>
          <w:b/>
          <w:bCs/>
          <w:color w:val="000000"/>
          <w:sz w:val="24"/>
          <w:szCs w:val="24"/>
        </w:rPr>
        <w:t xml:space="preserve"> règlement intérieur d’entreprise</w:t>
      </w:r>
      <w:r w:rsidRPr="006D644A">
        <w:rPr>
          <w:rFonts w:asciiTheme="majorHAnsi" w:hAnsiTheme="majorHAnsi" w:cstheme="majorHAnsi"/>
          <w:color w:val="000000"/>
          <w:sz w:val="24"/>
          <w:szCs w:val="24"/>
        </w:rPr>
        <w:t xml:space="preserve"> :  </w:t>
      </w:r>
      <w:r w:rsidR="006D644A" w:rsidRPr="006D644A">
        <w:rPr>
          <w:rFonts w:asciiTheme="majorHAnsi" w:hAnsiTheme="majorHAnsi" w:cstheme="majorHAnsi"/>
          <w:color w:val="000000"/>
          <w:sz w:val="24"/>
          <w:szCs w:val="24"/>
        </w:rPr>
        <w:t xml:space="preserve">règles en matière de santé et de sécurité dans l’entreprise, de discipline et aux sanctions </w:t>
      </w:r>
    </w:p>
    <w:p w14:paraId="00000023" w14:textId="77777777" w:rsidR="005048E4" w:rsidRPr="006D644A" w:rsidRDefault="00893C2F" w:rsidP="00893C2F">
      <w:pPr>
        <w:widowControl w:val="0"/>
        <w:pBdr>
          <w:top w:val="nil"/>
          <w:left w:val="nil"/>
          <w:bottom w:val="nil"/>
          <w:right w:val="nil"/>
          <w:between w:val="nil"/>
        </w:pBdr>
        <w:spacing w:after="120" w:line="240" w:lineRule="auto"/>
        <w:ind w:left="2" w:right="831" w:firstLine="18"/>
        <w:rPr>
          <w:rFonts w:asciiTheme="majorHAnsi" w:hAnsiTheme="majorHAnsi" w:cstheme="majorHAnsi"/>
          <w:color w:val="000000"/>
          <w:sz w:val="23"/>
          <w:szCs w:val="23"/>
        </w:rPr>
      </w:pPr>
      <w:r w:rsidRPr="006D644A">
        <w:rPr>
          <w:rFonts w:asciiTheme="majorHAnsi" w:hAnsiTheme="majorHAnsi" w:cstheme="majorHAnsi"/>
          <w:color w:val="000000"/>
          <w:sz w:val="23"/>
          <w:szCs w:val="23"/>
        </w:rPr>
        <w:t xml:space="preserve">. </w:t>
      </w:r>
    </w:p>
    <w:p w14:paraId="00000024" w14:textId="710BB92A" w:rsidR="005048E4" w:rsidRDefault="006D644A" w:rsidP="00893C2F">
      <w:pPr>
        <w:widowControl w:val="0"/>
        <w:pBdr>
          <w:top w:val="nil"/>
          <w:left w:val="nil"/>
          <w:bottom w:val="nil"/>
          <w:right w:val="nil"/>
          <w:between w:val="nil"/>
        </w:pBdr>
        <w:spacing w:after="120" w:line="240" w:lineRule="auto"/>
        <w:ind w:left="2" w:right="831" w:firstLine="18"/>
        <w:rPr>
          <w:rFonts w:asciiTheme="majorHAnsi" w:hAnsiTheme="majorHAnsi" w:cstheme="majorHAnsi"/>
          <w:b/>
          <w:bCs/>
          <w:color w:val="000000"/>
          <w:sz w:val="28"/>
          <w:szCs w:val="28"/>
        </w:rPr>
      </w:pPr>
      <w:r w:rsidRPr="006D644A">
        <w:rPr>
          <w:rFonts w:asciiTheme="majorHAnsi" w:hAnsiTheme="majorHAnsi" w:cstheme="majorHAnsi"/>
          <w:b/>
          <w:bCs/>
          <w:color w:val="000000"/>
          <w:sz w:val="28"/>
          <w:szCs w:val="28"/>
        </w:rPr>
        <w:t xml:space="preserve">II. LE DROIT NEGOCIE </w:t>
      </w:r>
    </w:p>
    <w:p w14:paraId="7DAE3BBC" w14:textId="7F16C134" w:rsidR="0071273C" w:rsidRDefault="0071273C" w:rsidP="00893C2F">
      <w:pPr>
        <w:pStyle w:val="Paragraphedeliste"/>
        <w:widowControl w:val="0"/>
        <w:numPr>
          <w:ilvl w:val="0"/>
          <w:numId w:val="1"/>
        </w:numPr>
        <w:pBdr>
          <w:top w:val="nil"/>
          <w:left w:val="nil"/>
          <w:bottom w:val="nil"/>
          <w:right w:val="nil"/>
          <w:between w:val="nil"/>
        </w:pBdr>
        <w:spacing w:after="120" w:line="360" w:lineRule="auto"/>
        <w:ind w:right="831"/>
        <w:rPr>
          <w:rFonts w:asciiTheme="majorHAnsi" w:hAnsiTheme="majorHAnsi" w:cstheme="majorHAnsi"/>
          <w:color w:val="000000"/>
          <w:sz w:val="24"/>
          <w:szCs w:val="24"/>
        </w:rPr>
      </w:pPr>
      <w:r>
        <w:rPr>
          <w:rFonts w:asciiTheme="majorHAnsi" w:hAnsiTheme="majorHAnsi" w:cstheme="majorHAnsi"/>
          <w:color w:val="000000"/>
          <w:sz w:val="24"/>
          <w:szCs w:val="24"/>
        </w:rPr>
        <w:t>Qu’est-ce que la hiérarchie des normes ?</w:t>
      </w:r>
    </w:p>
    <w:p w14:paraId="6D701247" w14:textId="47E6D60B" w:rsidR="00EC7416" w:rsidRPr="0071273C" w:rsidRDefault="00D27637" w:rsidP="00893C2F">
      <w:pPr>
        <w:pStyle w:val="Paragraphedeliste"/>
        <w:widowControl w:val="0"/>
        <w:numPr>
          <w:ilvl w:val="0"/>
          <w:numId w:val="1"/>
        </w:numPr>
        <w:pBdr>
          <w:top w:val="nil"/>
          <w:left w:val="nil"/>
          <w:bottom w:val="nil"/>
          <w:right w:val="nil"/>
          <w:between w:val="nil"/>
        </w:pBdr>
        <w:spacing w:after="120" w:line="360" w:lineRule="auto"/>
        <w:ind w:right="831"/>
        <w:rPr>
          <w:rFonts w:asciiTheme="majorHAnsi" w:hAnsiTheme="majorHAnsi" w:cstheme="majorHAnsi"/>
          <w:color w:val="000000"/>
          <w:sz w:val="24"/>
          <w:szCs w:val="24"/>
        </w:rPr>
      </w:pPr>
      <w:r w:rsidRPr="0071273C">
        <w:rPr>
          <w:rFonts w:asciiTheme="majorHAnsi" w:hAnsiTheme="majorHAnsi" w:cstheme="majorHAnsi"/>
          <w:color w:val="000000"/>
          <w:sz w:val="24"/>
          <w:szCs w:val="24"/>
        </w:rPr>
        <w:t>Expliquez l</w:t>
      </w:r>
      <w:r w:rsidR="00893C2F" w:rsidRPr="0071273C">
        <w:rPr>
          <w:rFonts w:asciiTheme="majorHAnsi" w:hAnsiTheme="majorHAnsi" w:cstheme="majorHAnsi"/>
          <w:color w:val="000000"/>
          <w:sz w:val="24"/>
          <w:szCs w:val="24"/>
        </w:rPr>
        <w:t xml:space="preserve">e principe de faveur et les accords dérogatoires </w:t>
      </w:r>
    </w:p>
    <w:p w14:paraId="2FB305C1" w14:textId="77777777" w:rsidR="00C7631C" w:rsidRPr="0071273C" w:rsidRDefault="00C7631C" w:rsidP="00C7631C">
      <w:pPr>
        <w:pStyle w:val="Paragraphedeliste"/>
        <w:widowControl w:val="0"/>
        <w:numPr>
          <w:ilvl w:val="0"/>
          <w:numId w:val="1"/>
        </w:numPr>
        <w:pBdr>
          <w:top w:val="nil"/>
          <w:left w:val="nil"/>
          <w:bottom w:val="nil"/>
          <w:right w:val="nil"/>
          <w:between w:val="nil"/>
        </w:pBdr>
        <w:spacing w:after="120" w:line="360" w:lineRule="auto"/>
        <w:ind w:right="831"/>
        <w:rPr>
          <w:rFonts w:asciiTheme="majorHAnsi" w:hAnsiTheme="majorHAnsi" w:cstheme="majorHAnsi"/>
          <w:color w:val="000000"/>
          <w:sz w:val="24"/>
          <w:szCs w:val="24"/>
        </w:rPr>
      </w:pPr>
      <w:r w:rsidRPr="0071273C">
        <w:rPr>
          <w:rFonts w:asciiTheme="majorHAnsi" w:hAnsiTheme="majorHAnsi" w:cstheme="majorHAnsi"/>
          <w:color w:val="000000"/>
          <w:sz w:val="24"/>
          <w:szCs w:val="24"/>
        </w:rPr>
        <w:t xml:space="preserve">Présentez les différents accords </w:t>
      </w:r>
    </w:p>
    <w:p w14:paraId="1A4615BB" w14:textId="77777777" w:rsidR="006D644A" w:rsidRPr="006D644A" w:rsidRDefault="006D644A" w:rsidP="00893C2F">
      <w:pPr>
        <w:widowControl w:val="0"/>
        <w:pBdr>
          <w:top w:val="nil"/>
          <w:left w:val="nil"/>
          <w:bottom w:val="nil"/>
          <w:right w:val="nil"/>
          <w:between w:val="nil"/>
        </w:pBdr>
        <w:spacing w:after="120" w:line="234" w:lineRule="auto"/>
        <w:ind w:left="2" w:right="831" w:firstLine="18"/>
        <w:rPr>
          <w:rFonts w:asciiTheme="majorHAnsi" w:hAnsiTheme="majorHAnsi" w:cstheme="majorHAnsi"/>
          <w:color w:val="000000"/>
          <w:sz w:val="23"/>
          <w:szCs w:val="23"/>
        </w:rPr>
      </w:pPr>
    </w:p>
    <w:p w14:paraId="00000049" w14:textId="3F25DF60" w:rsidR="005048E4" w:rsidRDefault="006D644A" w:rsidP="00893C2F">
      <w:pPr>
        <w:widowControl w:val="0"/>
        <w:pBdr>
          <w:top w:val="nil"/>
          <w:left w:val="nil"/>
          <w:bottom w:val="nil"/>
          <w:right w:val="nil"/>
          <w:between w:val="nil"/>
        </w:pBdr>
        <w:spacing w:after="120" w:line="240" w:lineRule="auto"/>
        <w:ind w:left="2" w:right="831" w:firstLine="18"/>
        <w:rPr>
          <w:rFonts w:asciiTheme="majorHAnsi" w:hAnsiTheme="majorHAnsi" w:cstheme="majorHAnsi"/>
          <w:b/>
          <w:bCs/>
          <w:color w:val="000000"/>
          <w:sz w:val="28"/>
          <w:szCs w:val="28"/>
        </w:rPr>
      </w:pPr>
      <w:r w:rsidRPr="006D644A">
        <w:rPr>
          <w:rFonts w:asciiTheme="majorHAnsi" w:hAnsiTheme="majorHAnsi" w:cstheme="majorHAnsi"/>
          <w:b/>
          <w:bCs/>
          <w:color w:val="000000"/>
          <w:sz w:val="28"/>
          <w:szCs w:val="28"/>
        </w:rPr>
        <w:t xml:space="preserve">III. LES PARTENAIRES SOCIAUX </w:t>
      </w:r>
    </w:p>
    <w:p w14:paraId="1D1FAEC8" w14:textId="024E2013" w:rsidR="00EC7416" w:rsidRPr="0071273C" w:rsidRDefault="00EC7416" w:rsidP="00893C2F">
      <w:pPr>
        <w:pStyle w:val="Paragraphedeliste"/>
        <w:widowControl w:val="0"/>
        <w:numPr>
          <w:ilvl w:val="0"/>
          <w:numId w:val="2"/>
        </w:numPr>
        <w:pBdr>
          <w:top w:val="nil"/>
          <w:left w:val="nil"/>
          <w:bottom w:val="nil"/>
          <w:right w:val="nil"/>
          <w:between w:val="nil"/>
        </w:pBdr>
        <w:tabs>
          <w:tab w:val="left" w:pos="10065"/>
        </w:tabs>
        <w:spacing w:after="120" w:line="360" w:lineRule="auto"/>
        <w:ind w:right="831"/>
        <w:jc w:val="both"/>
        <w:rPr>
          <w:rFonts w:asciiTheme="majorHAnsi" w:hAnsiTheme="majorHAnsi" w:cstheme="majorHAnsi"/>
          <w:color w:val="000000"/>
          <w:sz w:val="24"/>
          <w:szCs w:val="24"/>
        </w:rPr>
      </w:pPr>
      <w:r w:rsidRPr="0071273C">
        <w:rPr>
          <w:rFonts w:asciiTheme="majorHAnsi" w:hAnsiTheme="majorHAnsi" w:cstheme="majorHAnsi"/>
          <w:color w:val="000000"/>
          <w:sz w:val="24"/>
          <w:szCs w:val="24"/>
        </w:rPr>
        <w:t>Présentez les différents s</w:t>
      </w:r>
      <w:r w:rsidR="00893C2F" w:rsidRPr="0071273C">
        <w:rPr>
          <w:rFonts w:asciiTheme="majorHAnsi" w:hAnsiTheme="majorHAnsi" w:cstheme="majorHAnsi"/>
          <w:color w:val="000000"/>
          <w:sz w:val="24"/>
          <w:szCs w:val="24"/>
        </w:rPr>
        <w:t xml:space="preserve">yndicats représentatifs des salariés </w:t>
      </w:r>
      <w:r w:rsidRPr="0071273C">
        <w:rPr>
          <w:rFonts w:asciiTheme="majorHAnsi" w:hAnsiTheme="majorHAnsi" w:cstheme="majorHAnsi"/>
          <w:color w:val="000000"/>
          <w:sz w:val="24"/>
          <w:szCs w:val="24"/>
        </w:rPr>
        <w:t>et les organisations patronales</w:t>
      </w:r>
    </w:p>
    <w:p w14:paraId="272FF391" w14:textId="77777777" w:rsidR="00D27637" w:rsidRPr="006D644A" w:rsidRDefault="00D27637" w:rsidP="00893C2F">
      <w:pPr>
        <w:widowControl w:val="0"/>
        <w:pBdr>
          <w:top w:val="nil"/>
          <w:left w:val="nil"/>
          <w:bottom w:val="nil"/>
          <w:right w:val="nil"/>
          <w:between w:val="nil"/>
        </w:pBdr>
        <w:spacing w:after="120" w:line="228" w:lineRule="auto"/>
        <w:ind w:left="2" w:right="831" w:firstLine="18"/>
        <w:jc w:val="both"/>
        <w:rPr>
          <w:rFonts w:asciiTheme="majorHAnsi" w:hAnsiTheme="majorHAnsi" w:cstheme="majorHAnsi"/>
          <w:color w:val="000000"/>
          <w:sz w:val="24"/>
          <w:szCs w:val="24"/>
        </w:rPr>
      </w:pPr>
    </w:p>
    <w:p w14:paraId="0000004D" w14:textId="0DE04D8C" w:rsidR="005048E4" w:rsidRPr="006D644A" w:rsidRDefault="00893C2F" w:rsidP="00893C2F">
      <w:pPr>
        <w:widowControl w:val="0"/>
        <w:pBdr>
          <w:top w:val="nil"/>
          <w:left w:val="nil"/>
          <w:bottom w:val="nil"/>
          <w:right w:val="nil"/>
          <w:between w:val="nil"/>
        </w:pBdr>
        <w:spacing w:after="120" w:line="240" w:lineRule="auto"/>
        <w:ind w:left="2" w:right="831" w:firstLine="18"/>
        <w:jc w:val="right"/>
        <w:rPr>
          <w:rFonts w:asciiTheme="majorHAnsi" w:hAnsiTheme="majorHAnsi" w:cstheme="majorHAnsi"/>
          <w:color w:val="000000"/>
          <w:sz w:val="23"/>
          <w:szCs w:val="23"/>
        </w:rPr>
      </w:pPr>
      <w:proofErr w:type="gramStart"/>
      <w:r w:rsidRPr="006D644A">
        <w:rPr>
          <w:rFonts w:asciiTheme="majorHAnsi" w:hAnsiTheme="majorHAnsi" w:cstheme="majorHAnsi"/>
          <w:color w:val="000000"/>
          <w:sz w:val="23"/>
          <w:szCs w:val="23"/>
        </w:rPr>
        <w:t>s</w:t>
      </w:r>
      <w:proofErr w:type="gramEnd"/>
    </w:p>
    <w:sectPr w:rsidR="005048E4" w:rsidRPr="006D644A" w:rsidSect="00EC7416">
      <w:pgSz w:w="11900" w:h="16820"/>
      <w:pgMar w:top="851" w:right="11" w:bottom="777" w:left="99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C0274"/>
    <w:multiLevelType w:val="hybridMultilevel"/>
    <w:tmpl w:val="B3007FE0"/>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 w15:restartNumberingAfterBreak="0">
    <w:nsid w:val="6C1F3A3C"/>
    <w:multiLevelType w:val="hybridMultilevel"/>
    <w:tmpl w:val="C23879A8"/>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E4"/>
    <w:rsid w:val="001E3BFE"/>
    <w:rsid w:val="005048E4"/>
    <w:rsid w:val="006D644A"/>
    <w:rsid w:val="0071273C"/>
    <w:rsid w:val="00893C2F"/>
    <w:rsid w:val="008F6A8E"/>
    <w:rsid w:val="00C7631C"/>
    <w:rsid w:val="00D040E9"/>
    <w:rsid w:val="00D27637"/>
    <w:rsid w:val="00EC7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59BF"/>
  <w15:docId w15:val="{BD02DC30-841E-4646-98DE-1EFAA072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71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paret</dc:creator>
  <cp:lastModifiedBy>geraldine paret</cp:lastModifiedBy>
  <cp:revision>3</cp:revision>
  <dcterms:created xsi:type="dcterms:W3CDTF">2021-11-21T07:43:00Z</dcterms:created>
  <dcterms:modified xsi:type="dcterms:W3CDTF">2021-11-21T08:09:00Z</dcterms:modified>
</cp:coreProperties>
</file>