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89CF" w14:textId="554BB0D3" w:rsidR="004E2CB7" w:rsidRPr="004E2CB7" w:rsidRDefault="004E2CB7" w:rsidP="004E2CB7">
      <w:pPr>
        <w:jc w:val="center"/>
        <w:rPr>
          <w:b/>
          <w:bCs/>
          <w:sz w:val="32"/>
          <w:szCs w:val="32"/>
        </w:rPr>
      </w:pPr>
      <w:r w:rsidRPr="004E2CB7">
        <w:rPr>
          <w:b/>
          <w:bCs/>
          <w:sz w:val="32"/>
          <w:szCs w:val="32"/>
        </w:rPr>
        <w:t>LA RUPTURE CONVENTIONNELLE</w:t>
      </w:r>
    </w:p>
    <w:tbl>
      <w:tblPr>
        <w:tblW w:w="9930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7680"/>
      </w:tblGrid>
      <w:tr w:rsidR="004E2CB7" w14:paraId="0B619F4A" w14:textId="49F49F21" w:rsidTr="004E2CB7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2250" w:type="dxa"/>
            <w:vAlign w:val="center"/>
          </w:tcPr>
          <w:p w14:paraId="3449B997" w14:textId="00FBBF09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>Définition</w:t>
            </w:r>
          </w:p>
        </w:tc>
        <w:tc>
          <w:tcPr>
            <w:tcW w:w="7680" w:type="dxa"/>
          </w:tcPr>
          <w:p w14:paraId="48899CD7" w14:textId="77777777" w:rsidR="004E2CB7" w:rsidRDefault="004E2CB7"/>
        </w:tc>
      </w:tr>
      <w:tr w:rsidR="004E2CB7" w14:paraId="5463BEC6" w14:textId="77777777" w:rsidTr="004E2CB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2250" w:type="dxa"/>
            <w:vAlign w:val="center"/>
          </w:tcPr>
          <w:p w14:paraId="49ED3BA8" w14:textId="182C72E5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>Indemnités pour le salarié</w:t>
            </w:r>
          </w:p>
        </w:tc>
        <w:tc>
          <w:tcPr>
            <w:tcW w:w="7680" w:type="dxa"/>
          </w:tcPr>
          <w:p w14:paraId="2D1687C8" w14:textId="77777777" w:rsidR="004E2CB7" w:rsidRDefault="004E2CB7"/>
        </w:tc>
      </w:tr>
      <w:tr w:rsidR="004E2CB7" w14:paraId="2C09DFAE" w14:textId="77777777" w:rsidTr="004E2CB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250" w:type="dxa"/>
            <w:vAlign w:val="center"/>
          </w:tcPr>
          <w:p w14:paraId="3CA053F2" w14:textId="2AA925DB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>Pour qui ?</w:t>
            </w:r>
          </w:p>
        </w:tc>
        <w:tc>
          <w:tcPr>
            <w:tcW w:w="7680" w:type="dxa"/>
          </w:tcPr>
          <w:p w14:paraId="6DC14F3E" w14:textId="77777777" w:rsidR="004E2CB7" w:rsidRDefault="004E2CB7"/>
        </w:tc>
      </w:tr>
      <w:tr w:rsidR="004E2CB7" w14:paraId="4C723353" w14:textId="77777777" w:rsidTr="004E2CB7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2250" w:type="dxa"/>
            <w:vAlign w:val="center"/>
          </w:tcPr>
          <w:p w14:paraId="0AE9B2B5" w14:textId="598A1147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>Peut-elle être refusée ?</w:t>
            </w:r>
          </w:p>
        </w:tc>
        <w:tc>
          <w:tcPr>
            <w:tcW w:w="7680" w:type="dxa"/>
          </w:tcPr>
          <w:p w14:paraId="42798F10" w14:textId="77777777" w:rsidR="004E2CB7" w:rsidRDefault="004E2CB7"/>
        </w:tc>
      </w:tr>
      <w:tr w:rsidR="004E2CB7" w14:paraId="6061D7C4" w14:textId="77777777" w:rsidTr="004E2CB7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250" w:type="dxa"/>
            <w:vAlign w:val="center"/>
          </w:tcPr>
          <w:p w14:paraId="3D4E82B0" w14:textId="596175F6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>Quelle procédure respecter ?</w:t>
            </w:r>
          </w:p>
        </w:tc>
        <w:tc>
          <w:tcPr>
            <w:tcW w:w="7680" w:type="dxa"/>
          </w:tcPr>
          <w:p w14:paraId="07F86C5D" w14:textId="77777777" w:rsidR="004E2CB7" w:rsidRDefault="004E2CB7"/>
        </w:tc>
      </w:tr>
      <w:tr w:rsidR="004E2CB7" w14:paraId="70C160D1" w14:textId="77777777" w:rsidTr="004E2CB7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2250" w:type="dxa"/>
            <w:vAlign w:val="center"/>
          </w:tcPr>
          <w:p w14:paraId="74AE7BAD" w14:textId="6ADEDE71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>Avantages</w:t>
            </w:r>
          </w:p>
        </w:tc>
        <w:tc>
          <w:tcPr>
            <w:tcW w:w="7680" w:type="dxa"/>
          </w:tcPr>
          <w:p w14:paraId="64CB9288" w14:textId="77777777" w:rsidR="004E2CB7" w:rsidRDefault="004E2CB7"/>
        </w:tc>
      </w:tr>
      <w:tr w:rsidR="004E2CB7" w14:paraId="5893E20B" w14:textId="77777777" w:rsidTr="004E2CB7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2250" w:type="dxa"/>
            <w:vAlign w:val="center"/>
          </w:tcPr>
          <w:p w14:paraId="4CB2D831" w14:textId="77985B4B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>Inconvénients</w:t>
            </w:r>
          </w:p>
        </w:tc>
        <w:tc>
          <w:tcPr>
            <w:tcW w:w="7680" w:type="dxa"/>
          </w:tcPr>
          <w:p w14:paraId="041C9BDB" w14:textId="77777777" w:rsidR="004E2CB7" w:rsidRDefault="004E2CB7"/>
        </w:tc>
      </w:tr>
      <w:tr w:rsidR="004E2CB7" w14:paraId="6900F9AB" w14:textId="77777777" w:rsidTr="004E2CB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250" w:type="dxa"/>
            <w:vAlign w:val="center"/>
          </w:tcPr>
          <w:p w14:paraId="5D2DA9A0" w14:textId="2781B027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>Délais de rétractation</w:t>
            </w:r>
          </w:p>
        </w:tc>
        <w:tc>
          <w:tcPr>
            <w:tcW w:w="7680" w:type="dxa"/>
          </w:tcPr>
          <w:p w14:paraId="3BD156F0" w14:textId="77777777" w:rsidR="004E2CB7" w:rsidRDefault="004E2CB7"/>
        </w:tc>
      </w:tr>
      <w:tr w:rsidR="004E2CB7" w14:paraId="15425361" w14:textId="77777777" w:rsidTr="004E2CB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250" w:type="dxa"/>
            <w:vAlign w:val="center"/>
          </w:tcPr>
          <w:p w14:paraId="65D191C3" w14:textId="644D7D69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 xml:space="preserve">Motifs de refus par la </w:t>
            </w:r>
            <w:proofErr w:type="spellStart"/>
            <w:r w:rsidRPr="004E2CB7">
              <w:rPr>
                <w:b/>
                <w:bCs/>
                <w:sz w:val="28"/>
                <w:szCs w:val="28"/>
              </w:rPr>
              <w:t>direccte</w:t>
            </w:r>
            <w:proofErr w:type="spellEnd"/>
          </w:p>
        </w:tc>
        <w:tc>
          <w:tcPr>
            <w:tcW w:w="7680" w:type="dxa"/>
          </w:tcPr>
          <w:p w14:paraId="33D1DE1A" w14:textId="77777777" w:rsidR="004E2CB7" w:rsidRDefault="004E2CB7"/>
        </w:tc>
      </w:tr>
      <w:tr w:rsidR="004E2CB7" w14:paraId="70E2DF33" w14:textId="77777777" w:rsidTr="004E2CB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250" w:type="dxa"/>
            <w:vAlign w:val="center"/>
          </w:tcPr>
          <w:p w14:paraId="26B229CD" w14:textId="5949E4DE" w:rsidR="004E2CB7" w:rsidRPr="004E2CB7" w:rsidRDefault="004E2CB7" w:rsidP="004E2CB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B7">
              <w:rPr>
                <w:b/>
                <w:bCs/>
                <w:sz w:val="28"/>
                <w:szCs w:val="28"/>
              </w:rPr>
              <w:t>Préavis</w:t>
            </w:r>
          </w:p>
        </w:tc>
        <w:tc>
          <w:tcPr>
            <w:tcW w:w="7680" w:type="dxa"/>
          </w:tcPr>
          <w:p w14:paraId="1BFA6AE0" w14:textId="77777777" w:rsidR="004E2CB7" w:rsidRDefault="004E2CB7"/>
        </w:tc>
      </w:tr>
    </w:tbl>
    <w:p w14:paraId="53CB7694" w14:textId="77777777" w:rsidR="004E2CB7" w:rsidRDefault="004E2CB7"/>
    <w:sectPr w:rsidR="004E2CB7" w:rsidSect="004E2CB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B7"/>
    <w:rsid w:val="004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5D9A"/>
  <w15:chartTrackingRefBased/>
  <w15:docId w15:val="{1979BAE2-A7E3-4BC8-B4B3-215BF3C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2022-02-27T18:24:00Z</dcterms:created>
  <dcterms:modified xsi:type="dcterms:W3CDTF">2022-02-27T18:32:00Z</dcterms:modified>
</cp:coreProperties>
</file>