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87A6" w14:textId="07AEE796" w:rsidR="00E9721E" w:rsidRDefault="00E9721E" w:rsidP="00E9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644" w:hanging="360"/>
        <w:jc w:val="center"/>
        <w:rPr>
          <w:rFonts w:cstheme="minorHAnsi"/>
          <w:b/>
          <w:bCs/>
          <w:sz w:val="36"/>
          <w:szCs w:val="36"/>
        </w:rPr>
      </w:pPr>
      <w:r w:rsidRPr="00E9721E">
        <w:rPr>
          <w:rFonts w:cstheme="minorHAnsi"/>
          <w:b/>
          <w:bCs/>
          <w:sz w:val="36"/>
          <w:szCs w:val="36"/>
        </w:rPr>
        <w:t>RAISONNEMENT JURIDIQUE : SYLLOGISME</w:t>
      </w:r>
    </w:p>
    <w:p w14:paraId="5BF710B9" w14:textId="77777777" w:rsidR="00E9721E" w:rsidRPr="00FE1AEA" w:rsidRDefault="00E9721E" w:rsidP="00E9721E">
      <w:pPr>
        <w:ind w:left="644" w:hanging="360"/>
        <w:jc w:val="center"/>
        <w:rPr>
          <w:rFonts w:cstheme="minorHAnsi"/>
          <w:b/>
          <w:bCs/>
          <w:sz w:val="20"/>
          <w:szCs w:val="20"/>
        </w:rPr>
      </w:pPr>
    </w:p>
    <w:p w14:paraId="13F69CC7" w14:textId="4F31D7C6" w:rsidR="00FB4E21" w:rsidRPr="00FE1AEA" w:rsidRDefault="00FB4E21" w:rsidP="00FB4E21">
      <w:pPr>
        <w:pStyle w:val="Paragraphedeliste"/>
        <w:numPr>
          <w:ilvl w:val="0"/>
          <w:numId w:val="1"/>
        </w:numPr>
        <w:rPr>
          <w:rFonts w:cstheme="minorHAnsi"/>
          <w:color w:val="0070C0"/>
          <w:sz w:val="28"/>
          <w:szCs w:val="28"/>
        </w:rPr>
      </w:pPr>
      <w:r w:rsidRPr="00FE1AEA">
        <w:rPr>
          <w:rFonts w:cstheme="minorHAnsi"/>
          <w:b/>
          <w:bCs/>
          <w:sz w:val="32"/>
          <w:szCs w:val="32"/>
          <w:u w:val="single"/>
        </w:rPr>
        <w:t>Faits</w:t>
      </w:r>
      <w:r w:rsidRPr="00FE1AEA">
        <w:rPr>
          <w:rFonts w:cstheme="minorHAnsi"/>
          <w:sz w:val="28"/>
          <w:szCs w:val="28"/>
        </w:rPr>
        <w:tab/>
      </w:r>
      <w:r w:rsidRPr="00FE1AEA">
        <w:rPr>
          <w:rFonts w:cstheme="minorHAnsi"/>
          <w:sz w:val="28"/>
          <w:szCs w:val="28"/>
        </w:rPr>
        <w:tab/>
      </w:r>
      <w:r w:rsidRPr="00FE1AEA">
        <w:rPr>
          <w:rFonts w:cstheme="minorHAnsi"/>
          <w:sz w:val="28"/>
          <w:szCs w:val="28"/>
        </w:rPr>
        <w:tab/>
      </w:r>
      <w:r w:rsidR="00FE1AEA">
        <w:rPr>
          <w:rFonts w:cstheme="minorHAnsi"/>
          <w:sz w:val="28"/>
          <w:szCs w:val="28"/>
        </w:rPr>
        <w:tab/>
      </w:r>
      <w:r w:rsidRPr="00FE1AEA">
        <w:rPr>
          <w:rFonts w:cstheme="minorHAnsi"/>
          <w:sz w:val="28"/>
          <w:szCs w:val="28"/>
        </w:rPr>
        <w:tab/>
      </w:r>
      <w:r w:rsidRPr="00FE1AEA">
        <w:rPr>
          <w:rFonts w:cstheme="minorHAnsi"/>
          <w:color w:val="0070C0"/>
          <w:sz w:val="28"/>
          <w:szCs w:val="28"/>
          <w:highlight w:val="yellow"/>
        </w:rPr>
        <w:t>MINEURE</w:t>
      </w:r>
    </w:p>
    <w:p w14:paraId="67091837" w14:textId="723D6842" w:rsidR="00B15D72" w:rsidRPr="00FE1AEA" w:rsidRDefault="00B15D72" w:rsidP="00FE1AEA">
      <w:pPr>
        <w:pStyle w:val="Paragraphedeliste"/>
        <w:ind w:left="2832"/>
        <w:rPr>
          <w:rFonts w:cstheme="minorHAnsi"/>
          <w:sz w:val="28"/>
          <w:szCs w:val="28"/>
        </w:rPr>
      </w:pPr>
      <w:r w:rsidRPr="00FE1AEA">
        <w:rPr>
          <w:rFonts w:cstheme="minorHAnsi"/>
          <w:sz w:val="28"/>
          <w:szCs w:val="28"/>
        </w:rPr>
        <w:t>Résumer et qualifier</w:t>
      </w:r>
      <w:r w:rsidR="00FB4E21" w:rsidRPr="00FE1AEA">
        <w:rPr>
          <w:rFonts w:cstheme="minorHAnsi"/>
          <w:sz w:val="28"/>
          <w:szCs w:val="28"/>
        </w:rPr>
        <w:t xml:space="preserve"> (vocabulaire juridique)</w:t>
      </w:r>
    </w:p>
    <w:p w14:paraId="61EF56E5" w14:textId="759297E0" w:rsidR="00295727" w:rsidRPr="00FE1AEA" w:rsidRDefault="00295727" w:rsidP="00FB4E21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FE1AEA">
        <w:rPr>
          <w:rFonts w:cstheme="minorHAnsi"/>
          <w:b/>
          <w:bCs/>
          <w:color w:val="FF0000"/>
          <w:sz w:val="28"/>
          <w:szCs w:val="28"/>
          <w:u w:val="single"/>
        </w:rPr>
        <w:t xml:space="preserve">Pb juridique </w:t>
      </w:r>
    </w:p>
    <w:p w14:paraId="13D962C4" w14:textId="77777777" w:rsidR="00BF5BAD" w:rsidRPr="00EB2090" w:rsidRDefault="00BF5BAD" w:rsidP="00BF5BAD">
      <w:pPr>
        <w:pStyle w:val="Paragraphedeliste"/>
        <w:rPr>
          <w:rFonts w:cstheme="minorHAnsi"/>
          <w:color w:val="FF0000"/>
          <w:sz w:val="14"/>
          <w:szCs w:val="14"/>
        </w:rPr>
      </w:pPr>
    </w:p>
    <w:p w14:paraId="5091E2A8" w14:textId="462FA138" w:rsidR="00295727" w:rsidRPr="00FE1AEA" w:rsidRDefault="00295727" w:rsidP="00295727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E1AEA">
        <w:rPr>
          <w:rFonts w:cstheme="minorHAnsi"/>
          <w:b/>
          <w:bCs/>
          <w:sz w:val="28"/>
          <w:szCs w:val="28"/>
          <w:u w:val="single"/>
        </w:rPr>
        <w:t>Règles de droit</w:t>
      </w:r>
      <w:r w:rsidRPr="00FE1AEA">
        <w:rPr>
          <w:rFonts w:cstheme="minorHAnsi"/>
          <w:sz w:val="28"/>
          <w:szCs w:val="28"/>
        </w:rPr>
        <w:tab/>
      </w:r>
      <w:r w:rsidRPr="00FE1AEA">
        <w:rPr>
          <w:rFonts w:cstheme="minorHAnsi"/>
          <w:sz w:val="28"/>
          <w:szCs w:val="28"/>
        </w:rPr>
        <w:tab/>
      </w:r>
      <w:r w:rsidR="00FE1AEA">
        <w:rPr>
          <w:rFonts w:cstheme="minorHAnsi"/>
          <w:sz w:val="28"/>
          <w:szCs w:val="28"/>
        </w:rPr>
        <w:tab/>
      </w:r>
      <w:r w:rsidRPr="00FE1AEA">
        <w:rPr>
          <w:rFonts w:cstheme="minorHAnsi"/>
          <w:color w:val="0070C0"/>
          <w:sz w:val="28"/>
          <w:szCs w:val="28"/>
          <w:highlight w:val="yellow"/>
        </w:rPr>
        <w:t>MAJEURE</w:t>
      </w:r>
    </w:p>
    <w:p w14:paraId="6917E166" w14:textId="77777777" w:rsidR="00BF5BAD" w:rsidRPr="00EB2090" w:rsidRDefault="00BF5BAD" w:rsidP="00BF5BAD">
      <w:pPr>
        <w:pStyle w:val="Paragraphedeliste"/>
        <w:rPr>
          <w:rFonts w:cstheme="minorHAnsi"/>
          <w:sz w:val="6"/>
          <w:szCs w:val="6"/>
        </w:rPr>
      </w:pPr>
    </w:p>
    <w:p w14:paraId="0F22B37E" w14:textId="77777777" w:rsidR="00295727" w:rsidRPr="00FE1AEA" w:rsidRDefault="00295727" w:rsidP="00295727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FE1AEA">
        <w:rPr>
          <w:rFonts w:cstheme="minorHAnsi"/>
          <w:b/>
          <w:bCs/>
          <w:sz w:val="28"/>
          <w:szCs w:val="28"/>
          <w:u w:val="single"/>
        </w:rPr>
        <w:t>Conclusion </w:t>
      </w:r>
      <w:r w:rsidRPr="00FE1AEA">
        <w:rPr>
          <w:rFonts w:cstheme="minorHAnsi"/>
          <w:b/>
          <w:bCs/>
          <w:sz w:val="28"/>
          <w:szCs w:val="28"/>
        </w:rPr>
        <w:t xml:space="preserve">: </w:t>
      </w:r>
    </w:p>
    <w:p w14:paraId="202FB872" w14:textId="37DA9CAD" w:rsidR="00295727" w:rsidRPr="00FE1AEA" w:rsidRDefault="00295727" w:rsidP="00EB2090">
      <w:pPr>
        <w:spacing w:line="240" w:lineRule="auto"/>
        <w:ind w:left="1416"/>
        <w:rPr>
          <w:rFonts w:cstheme="minorHAnsi"/>
          <w:sz w:val="32"/>
          <w:szCs w:val="32"/>
        </w:rPr>
      </w:pPr>
      <w:r w:rsidRPr="00FE1AEA">
        <w:rPr>
          <w:rFonts w:cstheme="minorHAnsi"/>
          <w:sz w:val="32"/>
          <w:szCs w:val="32"/>
        </w:rPr>
        <w:sym w:font="Wingdings" w:char="F0E8"/>
      </w:r>
      <w:r w:rsidRPr="00FE1AEA">
        <w:rPr>
          <w:rFonts w:cstheme="minorHAnsi"/>
          <w:sz w:val="32"/>
          <w:szCs w:val="32"/>
        </w:rPr>
        <w:t>or en l’espèce</w:t>
      </w:r>
    </w:p>
    <w:p w14:paraId="3B02D102" w14:textId="54E3758F" w:rsidR="00295727" w:rsidRPr="00FE1AEA" w:rsidRDefault="00295727" w:rsidP="00295727">
      <w:pPr>
        <w:ind w:left="1416"/>
        <w:rPr>
          <w:rFonts w:cstheme="minorHAnsi"/>
          <w:color w:val="FF0000"/>
          <w:sz w:val="32"/>
          <w:szCs w:val="32"/>
        </w:rPr>
      </w:pPr>
      <w:r w:rsidRPr="00FE1AEA">
        <w:rPr>
          <w:rFonts w:cstheme="minorHAnsi"/>
          <w:sz w:val="32"/>
          <w:szCs w:val="32"/>
        </w:rPr>
        <w:sym w:font="Wingdings" w:char="F0E8"/>
      </w:r>
      <w:r w:rsidRPr="00FE1AEA">
        <w:rPr>
          <w:rFonts w:cstheme="minorHAnsi"/>
          <w:color w:val="FF0000"/>
          <w:sz w:val="32"/>
          <w:szCs w:val="32"/>
        </w:rPr>
        <w:t>donc : réponse au pb juridique</w:t>
      </w:r>
    </w:p>
    <w:p w14:paraId="3521C5A4" w14:textId="6BA8047C" w:rsidR="00E9721E" w:rsidRPr="00EB2090" w:rsidRDefault="00E9721E" w:rsidP="00295727">
      <w:pPr>
        <w:ind w:left="1416"/>
        <w:rPr>
          <w:rFonts w:cstheme="minorHAnsi"/>
          <w:color w:val="FF0000"/>
          <w:sz w:val="10"/>
          <w:szCs w:val="10"/>
        </w:rPr>
      </w:pPr>
    </w:p>
    <w:p w14:paraId="17560EE9" w14:textId="77777777" w:rsidR="00E9721E" w:rsidRPr="00E9721E" w:rsidRDefault="00E9721E" w:rsidP="00E9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644" w:hanging="360"/>
        <w:jc w:val="center"/>
        <w:rPr>
          <w:rFonts w:cstheme="minorHAnsi"/>
          <w:b/>
          <w:bCs/>
          <w:sz w:val="36"/>
          <w:szCs w:val="36"/>
        </w:rPr>
      </w:pPr>
      <w:r w:rsidRPr="00E9721E">
        <w:rPr>
          <w:rFonts w:cstheme="minorHAnsi"/>
          <w:b/>
          <w:bCs/>
          <w:sz w:val="36"/>
          <w:szCs w:val="36"/>
        </w:rPr>
        <w:t>RESOUDRE UN CAS PRATIQUE EN UTILISANT LE SYLLOGISME</w:t>
      </w:r>
    </w:p>
    <w:p w14:paraId="5B86C0DB" w14:textId="77777777" w:rsidR="00E9721E" w:rsidRPr="00FE1AEA" w:rsidRDefault="00E9721E" w:rsidP="00E9721E">
      <w:pPr>
        <w:rPr>
          <w:rFonts w:cstheme="minorHAnsi"/>
          <w:b/>
          <w:bCs/>
          <w:color w:val="008000"/>
          <w:sz w:val="16"/>
          <w:szCs w:val="16"/>
          <w:u w:val="single"/>
        </w:rPr>
      </w:pPr>
    </w:p>
    <w:p w14:paraId="76C13AAC" w14:textId="2D34F4BD" w:rsidR="00E9721E" w:rsidRPr="00EB2090" w:rsidRDefault="00E9721E" w:rsidP="00EB2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iCs/>
          <w:sz w:val="26"/>
          <w:szCs w:val="26"/>
        </w:rPr>
      </w:pPr>
      <w:r w:rsidRPr="00EB2090">
        <w:rPr>
          <w:rFonts w:cstheme="minorHAnsi"/>
          <w:i/>
          <w:iCs/>
          <w:sz w:val="26"/>
          <w:szCs w:val="26"/>
        </w:rPr>
        <w:t>Le 17 octobre 2021, une habitante de Manosque, exploitant</w:t>
      </w:r>
      <w:r w:rsidR="00EB2090" w:rsidRPr="00EB2090">
        <w:rPr>
          <w:rFonts w:cstheme="minorHAnsi"/>
          <w:i/>
          <w:iCs/>
          <w:sz w:val="26"/>
          <w:szCs w:val="26"/>
        </w:rPr>
        <w:t>e</w:t>
      </w:r>
      <w:r w:rsidRPr="00EB2090">
        <w:rPr>
          <w:rFonts w:cstheme="minorHAnsi"/>
          <w:i/>
          <w:iCs/>
          <w:sz w:val="26"/>
          <w:szCs w:val="26"/>
        </w:rPr>
        <w:t xml:space="preserve"> agricole en retraite</w:t>
      </w:r>
      <w:r w:rsidR="00EB2090" w:rsidRPr="00EB2090">
        <w:rPr>
          <w:rFonts w:cstheme="minorHAnsi"/>
          <w:i/>
          <w:iCs/>
          <w:sz w:val="26"/>
          <w:szCs w:val="26"/>
        </w:rPr>
        <w:t>,</w:t>
      </w:r>
      <w:r w:rsidRPr="00EB2090">
        <w:rPr>
          <w:rFonts w:cstheme="minorHAnsi"/>
          <w:i/>
          <w:iCs/>
          <w:sz w:val="26"/>
          <w:szCs w:val="26"/>
        </w:rPr>
        <w:t xml:space="preserve"> entend frapper à sa porte.</w:t>
      </w:r>
      <w:r w:rsidRPr="00EB2090">
        <w:rPr>
          <w:rFonts w:cstheme="minorHAnsi"/>
          <w:i/>
          <w:iCs/>
          <w:sz w:val="26"/>
          <w:szCs w:val="26"/>
        </w:rPr>
        <w:t xml:space="preserve"> </w:t>
      </w:r>
      <w:r w:rsidRPr="00EB2090">
        <w:rPr>
          <w:rFonts w:cstheme="minorHAnsi"/>
          <w:i/>
          <w:iCs/>
          <w:sz w:val="26"/>
          <w:szCs w:val="26"/>
        </w:rPr>
        <w:t>Le représentant d’une entreprise spécialisée dans les serrures vient lui proposer l’achat de différents produits</w:t>
      </w:r>
      <w:r w:rsidR="00EB2090" w:rsidRPr="00EB2090">
        <w:rPr>
          <w:rFonts w:cstheme="minorHAnsi"/>
          <w:i/>
          <w:iCs/>
          <w:sz w:val="26"/>
          <w:szCs w:val="26"/>
        </w:rPr>
        <w:t xml:space="preserve"> dont elle n’a pas un réel besoin. Elle signifie au commercial qu’elle ne souhaite pas se doter de nouvelles serrures.</w:t>
      </w:r>
    </w:p>
    <w:p w14:paraId="6DF4D9BC" w14:textId="04E6A57D" w:rsidR="00E9721E" w:rsidRPr="00EB2090" w:rsidRDefault="00E9721E" w:rsidP="00EB2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iCs/>
          <w:sz w:val="26"/>
          <w:szCs w:val="26"/>
        </w:rPr>
      </w:pPr>
      <w:r w:rsidRPr="00EB2090">
        <w:rPr>
          <w:rFonts w:cstheme="minorHAnsi"/>
          <w:i/>
          <w:iCs/>
          <w:sz w:val="26"/>
          <w:szCs w:val="26"/>
        </w:rPr>
        <w:t xml:space="preserve">Devant le refus de la retraitée, il proclame, pour arriver à ses fins, des menaces. </w:t>
      </w:r>
      <w:r w:rsidR="00EB2090" w:rsidRPr="00EB2090">
        <w:rPr>
          <w:rFonts w:cstheme="minorHAnsi"/>
          <w:i/>
          <w:iCs/>
          <w:sz w:val="26"/>
          <w:szCs w:val="26"/>
        </w:rPr>
        <w:t>La retraitée seule et isolée dans sa maison, s’affole et</w:t>
      </w:r>
      <w:r w:rsidRPr="00EB2090">
        <w:rPr>
          <w:rFonts w:cstheme="minorHAnsi"/>
          <w:i/>
          <w:iCs/>
          <w:sz w:val="26"/>
          <w:szCs w:val="26"/>
        </w:rPr>
        <w:t xml:space="preserve"> finit par signer un chèque d’un montant total de 3000 € </w:t>
      </w:r>
      <w:r w:rsidR="00EB2090">
        <w:rPr>
          <w:rFonts w:cstheme="minorHAnsi"/>
          <w:i/>
          <w:iCs/>
          <w:sz w:val="26"/>
          <w:szCs w:val="26"/>
        </w:rPr>
        <w:t>.</w:t>
      </w:r>
    </w:p>
    <w:p w14:paraId="1239497B" w14:textId="77777777" w:rsidR="00E9721E" w:rsidRPr="00EB2090" w:rsidRDefault="00E9721E" w:rsidP="00EB2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iCs/>
          <w:sz w:val="26"/>
          <w:szCs w:val="26"/>
        </w:rPr>
      </w:pPr>
      <w:r w:rsidRPr="00EB2090">
        <w:rPr>
          <w:rFonts w:cstheme="minorHAnsi"/>
          <w:i/>
          <w:iCs/>
          <w:sz w:val="26"/>
          <w:szCs w:val="26"/>
        </w:rPr>
        <w:t>Quelques jours plus tard elle vient vous consulter afin de savoir quels sont ses droits dans cette affaire.</w:t>
      </w:r>
    </w:p>
    <w:p w14:paraId="6BC22E5E" w14:textId="6E6E57D1" w:rsidR="00EB2090" w:rsidRPr="00EB2090" w:rsidRDefault="00EB2090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EB209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ANNEXE</w:t>
      </w:r>
    </w:p>
    <w:p w14:paraId="20792EBB" w14:textId="693D325E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Les contrats doivent respecter quatre conditions pour être valablement formés (cf. </w:t>
      </w:r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 xml:space="preserve">art. 1108 </w:t>
      </w:r>
      <w:proofErr w:type="spellStart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C.civ</w:t>
      </w:r>
      <w:proofErr w:type="spellEnd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.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).</w:t>
      </w:r>
    </w:p>
    <w:p w14:paraId="519D6596" w14:textId="31CADEE5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Ces conditions sont relatives au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consentement 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de la partie qui s’engage, à sa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capacité de contracter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, à l’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objet du contrat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et à la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cause de l’engagement des parties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Si l’une de ces conditions n’est pas remplie,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la sanction est la nullité du contrat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5755ED84" w14:textId="77777777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Le consentement des parties qui s’engagent est nécessaire à la validité des contrats (cf. </w:t>
      </w:r>
      <w:r w:rsidRPr="00FE1AEA">
        <w:rPr>
          <w:rFonts w:eastAsia="Times New Roman" w:cstheme="minorHAnsi"/>
          <w:i/>
          <w:iCs/>
          <w:color w:val="000000"/>
          <w:sz w:val="23"/>
          <w:szCs w:val="23"/>
          <w:bdr w:val="none" w:sz="0" w:space="0" w:color="auto" w:frame="1"/>
          <w:lang w:eastAsia="fr-FR"/>
        </w:rPr>
        <w:t xml:space="preserve">art. 1108 </w:t>
      </w:r>
      <w:proofErr w:type="spellStart"/>
      <w:r w:rsidRPr="00FE1AEA">
        <w:rPr>
          <w:rFonts w:eastAsia="Times New Roman" w:cstheme="minorHAnsi"/>
          <w:i/>
          <w:iCs/>
          <w:color w:val="000000"/>
          <w:sz w:val="23"/>
          <w:szCs w:val="23"/>
          <w:bdr w:val="none" w:sz="0" w:space="0" w:color="auto" w:frame="1"/>
          <w:lang w:eastAsia="fr-FR"/>
        </w:rPr>
        <w:t>C.civ</w:t>
      </w:r>
      <w:proofErr w:type="spellEnd"/>
      <w:r w:rsidRPr="00FE1AEA">
        <w:rPr>
          <w:rFonts w:eastAsia="Times New Roman" w:cstheme="minorHAnsi"/>
          <w:i/>
          <w:iCs/>
          <w:color w:val="000000"/>
          <w:sz w:val="23"/>
          <w:szCs w:val="23"/>
          <w:bdr w:val="none" w:sz="0" w:space="0" w:color="auto" w:frame="1"/>
          <w:lang w:eastAsia="fr-FR"/>
        </w:rPr>
        <w:t>.</w:t>
      </w: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).</w:t>
      </w:r>
    </w:p>
    <w:p w14:paraId="1685D16C" w14:textId="77777777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Il doit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exister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lors de la conclusion du contrat, mais aussi être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libre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et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éclairé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26BFE85D" w14:textId="77777777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 consentement est libre lorsqu’il n’est pas obtenu par violence (cf. </w:t>
      </w:r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 xml:space="preserve">art. 1111 à 1115 </w:t>
      </w:r>
      <w:proofErr w:type="spellStart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C.civ</w:t>
      </w:r>
      <w:proofErr w:type="spellEnd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.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).</w:t>
      </w:r>
    </w:p>
    <w:p w14:paraId="1E1016CE" w14:textId="79293D59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 consentement est éclairé lorsqu’il n’est obtenu ni par erreur (cf. </w:t>
      </w:r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 xml:space="preserve">art. 1109 et 1110 </w:t>
      </w:r>
      <w:proofErr w:type="spellStart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C.civ</w:t>
      </w:r>
      <w:proofErr w:type="spellEnd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.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) ni par dol c’est-è-dire tromperie (cf. </w:t>
      </w:r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 xml:space="preserve">art. 1116 </w:t>
      </w:r>
      <w:proofErr w:type="spellStart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C.civ</w:t>
      </w:r>
      <w:proofErr w:type="spellEnd"/>
      <w:r w:rsidRPr="00FE1AE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.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).</w:t>
      </w:r>
      <w:r w:rsidR="00EB20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La violence, l’erreur et le dol sont des </w:t>
      </w:r>
      <w:r w:rsidRPr="00FE1A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vices du consentement</w:t>
      </w: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55F3E4AF" w14:textId="3E237352" w:rsidR="00FE1AEA" w:rsidRPr="00FE1AEA" w:rsidRDefault="00FE1AEA" w:rsidP="00FE1AE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Lorsqu’il est obtenu par violence, erreur ou dol le consentement est vicié et donc le contrat encourt la nullité.</w:t>
      </w:r>
      <w:r w:rsidR="00EB209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La </w:t>
      </w:r>
      <w:r w:rsidRPr="00FE1AEA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violence</w:t>
      </w: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 consiste en l’emploi de menaces à l’égard d’un individu dans le but de l’intimider et l’inciter à donner son consentement à un acte. Elle peut être physique ou morale.</w:t>
      </w:r>
      <w:r w:rsidRPr="00FE1AEA">
        <w:rPr>
          <w:rFonts w:eastAsia="Times New Roman" w:cstheme="minorHAnsi"/>
          <w:color w:val="6A6A6A"/>
          <w:sz w:val="23"/>
          <w:szCs w:val="23"/>
          <w:lang w:eastAsia="fr-FR"/>
        </w:rPr>
        <w:br/>
      </w: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L’</w:t>
      </w:r>
      <w:r w:rsidRPr="00FE1AEA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erreur</w:t>
      </w: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 est le fait de se méprendre sur la réalité.</w:t>
      </w:r>
    </w:p>
    <w:p w14:paraId="27C0F612" w14:textId="78B95A7D" w:rsidR="00E9721E" w:rsidRPr="00EB2090" w:rsidRDefault="00FE1AEA" w:rsidP="00EB209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6A6A6A"/>
          <w:sz w:val="23"/>
          <w:szCs w:val="23"/>
          <w:lang w:eastAsia="fr-FR"/>
        </w:rPr>
      </w:pP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>Le </w:t>
      </w:r>
      <w:r w:rsidRPr="00FE1AEA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dol</w:t>
      </w:r>
      <w:r w:rsidRPr="00FE1AEA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fr-FR"/>
        </w:rPr>
        <w:t xml:space="preserve"> désigne toute manœuvre frauduleuse employée pour tromper le contractant et ainsi le déterminer à consentir un acte. </w:t>
      </w:r>
    </w:p>
    <w:sectPr w:rsidR="00E9721E" w:rsidRPr="00EB2090" w:rsidSect="00FE1AE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47C"/>
    <w:multiLevelType w:val="hybridMultilevel"/>
    <w:tmpl w:val="DB2A85B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EC7"/>
    <w:multiLevelType w:val="multilevel"/>
    <w:tmpl w:val="359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7"/>
    <w:rsid w:val="00295727"/>
    <w:rsid w:val="0048274B"/>
    <w:rsid w:val="00B15D72"/>
    <w:rsid w:val="00BF5BAD"/>
    <w:rsid w:val="00E35AA1"/>
    <w:rsid w:val="00E9721E"/>
    <w:rsid w:val="00EB2090"/>
    <w:rsid w:val="00FB4E21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73E"/>
  <w15:chartTrackingRefBased/>
  <w15:docId w15:val="{3FBFCDF2-8386-4CEF-A249-2C6DDF6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3</cp:revision>
  <dcterms:created xsi:type="dcterms:W3CDTF">2021-12-08T13:19:00Z</dcterms:created>
  <dcterms:modified xsi:type="dcterms:W3CDTF">2021-12-09T08:49:00Z</dcterms:modified>
</cp:coreProperties>
</file>